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 John Frank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LOCKHEED MARTIN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LMT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20817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jc w:val="center"/>
              <w:ind w:left="7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rPr>
              <w:t>720</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3,179.468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rPr>
              <w:t>1,160</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2,019.468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10/23/2026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rPr>
              <w:t>2,019</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0.468</w:t>
            </w:r>
            <w:r>
              <w:rPr>
                <w:rFonts w:ascii="Times New Roman" w:cs="Times New Roman" w:eastAsia="Times New Roman" w:hAnsi="Times New Roman"/>
                <w:sz w:val="22"/>
                <w:szCs w:val="22"/>
                <w:color w:val="008000"/>
                <w:w w:val="93"/>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$601.14 to $602.04, inclusive. The Reporting Person undertakes to provide to the Issuer, any security holder of the Issuer, or the staff of the Securities and Exchange Commission, full information regarding the number of shares sold at each separate price within the ranges set forth in footnotes (1) through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$600.00 to $600.83,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$602.22 to $602.98,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Frank A. St. John, by Lynda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98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 Noggle, Attorney-in-fact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8300"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2026-10-27T17:13:43Z</dcterms:created>
  <dcterms:modified xsi:type="dcterms:W3CDTF">2026-10-27T17:13:43Z</dcterms:modified>
</cp:coreProperties>
</file>