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Donovan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6801 ROCKLEDGE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BETHESDA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LOCKHEED MARTIN CORP</w:t>
              </w:r>
            </w:hyperlink>
            <w:r>
              <w:rPr/>
              <w:t xml:space="preserve"> [ </w:t>
            </w:r>
            <w:r>
              <w:rPr>
                <w:rFonts w:ascii="Times;serif" w:hAnsi="Times;serif"/>
                <w:color w:val="0000FF"/>
                <w:sz w:val="24"/>
                <w:shd w:fill="FFFFFF" w:val="clear"/>
              </w:rPr>
              <w:t>LMT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929"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1221"/>
        <w:gridCol w:w="801"/>
        <w:gridCol w:w="1131"/>
        <w:gridCol w:w="831"/>
        <w:gridCol w:w="966"/>
      </w:tblGrid>
      <w:tr>
        <w:trPr>
          <w:tblHeader w:val="true"/>
        </w:trPr>
        <w:tc>
          <w:tcPr>
            <w:tcW w:w="129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96.9563</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96.9563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1,665.5769</w:t>
            </w:r>
            <w:r>
              <w:rPr>
                <w:rFonts w:ascii="Times;serif" w:hAnsi="Times;serif"/>
                <w:color w:val="008000"/>
                <w:position w:val="7"/>
                <w:sz w:val="16"/>
                <w:sz w:val="20"/>
                <w:shd w:fill="FFFFFF" w:val="clear"/>
              </w:rPr>
              <w:t>(3)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Deferred Comp Plan</w:t>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Phantom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2,077.1854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2,077.1854</w:t>
            </w: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Lockheed Martin Directors Equity Plan</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stock units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information pertains to phantom stock units acquired at $509.25 per share through director retainer fee deferral under the Lockheed Martin Corporation Directors Deferred Compensation Plan exempt under Section 16(b). Units are settled in cash upon the reporting person's retirement or termination of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Holdings as of reportable transaction date include additional acquisitions through dividend reinvestment.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information pertains to previously acquired stock units under the Lockheed Martin Corporation Amended and Restated Directors Equity Plan exempt under Section 16(b). Settlement in cash or stock (as elected by the director) will occur upon the reporting person's retirement or termination of service, except that non-employee directors who have satisfied our stock ownership guidelines may elect to have payment of awards granted on or after January 1, 2018 (together with any dividend equivalents thereon) made on the first business day of April following vesting of the award.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John M. Donovan, by Lynda M. Noggle,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3825" TargetMode="External"/><Relationship Id="rId5" Type="http://schemas.openxmlformats.org/officeDocument/2006/relationships/hyperlink" Target="http://www.sec.gov/cgi-bin/browse-edgar?action=getcompany&amp;CIK=00009364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749</Words>
  <Characters>4150</Characters>
  <CharactersWithSpaces>4816</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