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color w:val="000000"/>
          <w:sz w:val="22"/>
        </w:rPr>
      </w:pPr>
      <w:r>
        <w:rPr>
          <w:rFonts w:ascii="Arial;sans-serif" w:hAnsi="Arial;sans-serif"/>
          <w:b/>
          <w:color w:val="000000"/>
          <w:sz w:val="22"/>
        </w:rPr>
        <w:t>UNITED STATES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Arial;sans-serif" w:hAnsi="Arial;sans-serif"/>
          <w:b/>
          <w:color w:val="000000"/>
          <w:sz w:val="32"/>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64" w:before="0" w:after="0"/>
        <w:jc w:val="left"/>
        <w:rPr>
          <w:rFonts w:ascii="Arial;sans-serif" w:hAnsi="Arial;sans-serif"/>
          <w:b w:val="false"/>
          <w:color w:val="000000"/>
          <w:sz w:val="19"/>
        </w:rPr>
      </w:pPr>
      <w:r>
        <w:rPr>
          <w:rFonts w:ascii="Arial;sans-serif" w:hAnsi="Arial;sans-serif"/>
          <w:b w:val="false"/>
          <w:color w:val="000000"/>
          <w:sz w:val="19"/>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QUARTERLY REPORT PURSUANT TO SECTION 13 OR 15(d) OF THE SECURITIES EXCHANGE ACT OF 1934</w:t>
            </w:r>
          </w:p>
        </w:tc>
      </w:tr>
    </w:tbl>
    <w:p>
      <w:pPr>
        <w:pStyle w:val="TextBody"/>
        <w:bidi w:val="0"/>
        <w:spacing w:lineRule="auto" w:line="264" w:before="0" w:after="0"/>
        <w:jc w:val="center"/>
        <w:rPr>
          <w:rFonts w:ascii="Arial;sans-serif" w:hAnsi="Arial;sans-serif"/>
          <w:b/>
          <w:color w:val="000000"/>
          <w:sz w:val="19"/>
        </w:rPr>
      </w:pPr>
      <w:r>
        <w:rPr>
          <w:rFonts w:ascii="Arial;sans-serif" w:hAnsi="Arial;sans-serif"/>
          <w:b/>
          <w:color w:val="000000"/>
          <w:sz w:val="19"/>
        </w:rPr>
        <w:t>For the quarterly period ended September 27, 2026</w:t>
      </w:r>
    </w:p>
    <w:p>
      <w:pPr>
        <w:pStyle w:val="TextBody"/>
        <w:bidi w:val="0"/>
        <w:spacing w:lineRule="auto" w:line="288" w:before="80" w:after="80"/>
        <w:jc w:val="center"/>
        <w:rPr>
          <w:rFonts w:ascii="Arial;sans-serif" w:hAnsi="Arial;sans-serif"/>
          <w:b w:val="false"/>
          <w:color w:val="000000"/>
          <w:sz w:val="20"/>
        </w:rPr>
      </w:pPr>
      <w:r>
        <w:rPr>
          <w:rFonts w:ascii="Arial;sans-serif" w:hAnsi="Arial;sans-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TRANSITION REPORT PURSUANT TO SECTION 13 OR 15(d) OF THE SECURITIES EXCHANGE ACT OF 1934</w:t>
            </w:r>
          </w:p>
        </w:tc>
      </w:tr>
    </w:tbl>
    <w:p>
      <w:pPr>
        <w:pStyle w:val="TextBody"/>
        <w:bidi w:val="0"/>
        <w:spacing w:lineRule="auto" w:line="288" w:before="80" w:after="80"/>
        <w:jc w:val="center"/>
        <w:rPr>
          <w:rFonts w:ascii="Arial;sans-serif" w:hAnsi="Arial;sans-serif"/>
          <w:b w:val="false"/>
          <w:color w:val="000000"/>
          <w:sz w:val="19"/>
        </w:rPr>
      </w:pPr>
      <w:r>
        <w:rPr>
          <w:rFonts w:ascii="Arial;sans-serif" w:hAnsi="Arial;sans-serif"/>
          <w:b w:val="false"/>
          <w:color w:val="000000"/>
          <w:sz w:val="19"/>
        </w:rPr>
        <w:t>For the transition period from ______ to ______</w:t>
      </w:r>
    </w:p>
    <w:p>
      <w:pPr>
        <w:pStyle w:val="TextBody"/>
        <w:bidi w:val="0"/>
        <w:spacing w:lineRule="auto" w:line="288" w:before="200" w:after="283"/>
        <w:jc w:val="center"/>
        <w:rPr/>
      </w:pPr>
      <w:r>
        <w:rPr>
          <w:rFonts w:ascii="Arial;sans-serif" w:hAnsi="Arial;sans-serif"/>
          <w:b w:val="false"/>
          <w:color w:val="000000"/>
          <w:sz w:val="22"/>
        </w:rPr>
        <w:t>Commission file number: 1-11437</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 xml:space="preserve">LOCKHEED MARTIN CORPORATION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7195" w:type="dxa"/>
        <w:jc w:val="center"/>
        <w:tblInd w:w="0" w:type="dxa"/>
        <w:tblLayout w:type="fixed"/>
        <w:tblCellMar>
          <w:top w:w="28" w:type="dxa"/>
          <w:left w:w="28" w:type="dxa"/>
          <w:bottom w:w="28" w:type="dxa"/>
          <w:right w:w="28" w:type="dxa"/>
        </w:tblCellMar>
      </w:tblPr>
      <w:tblGrid>
        <w:gridCol w:w="744"/>
        <w:gridCol w:w="654"/>
        <w:gridCol w:w="656"/>
        <w:gridCol w:w="324"/>
        <w:gridCol w:w="324"/>
        <w:gridCol w:w="326"/>
        <w:gridCol w:w="297"/>
        <w:gridCol w:w="297"/>
        <w:gridCol w:w="307"/>
        <w:gridCol w:w="109"/>
        <w:gridCol w:w="109"/>
        <w:gridCol w:w="109"/>
        <w:gridCol w:w="857"/>
        <w:gridCol w:w="857"/>
        <w:gridCol w:w="1225"/>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52-1893632</w:t>
            </w:r>
          </w:p>
        </w:tc>
      </w:tr>
      <w:tr>
        <w:trPr/>
        <w:tc>
          <w:tcPr>
            <w:tcW w:w="3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6801 Rockledge Drive,</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Bethesda,</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20817</w:t>
            </w:r>
          </w:p>
        </w:tc>
      </w:tr>
      <w:tr>
        <w:trPr/>
        <w:tc>
          <w:tcPr>
            <w:tcW w:w="3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 xml:space="preserve">(301) 897-6000 </w:t>
      </w:r>
    </w:p>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664" w:type="dxa"/>
        <w:jc w:val="left"/>
        <w:tblInd w:w="0" w:type="dxa"/>
        <w:tblLayout w:type="fixed"/>
        <w:tblCellMar>
          <w:top w:w="28" w:type="dxa"/>
          <w:left w:w="28" w:type="dxa"/>
          <w:bottom w:w="28" w:type="dxa"/>
          <w:right w:w="28" w:type="dxa"/>
        </w:tblCellMar>
      </w:tblPr>
      <w:tblGrid>
        <w:gridCol w:w="896"/>
        <w:gridCol w:w="788"/>
        <w:gridCol w:w="791"/>
        <w:gridCol w:w="464"/>
        <w:gridCol w:w="464"/>
        <w:gridCol w:w="466"/>
        <w:gridCol w:w="1108"/>
        <w:gridCol w:w="1108"/>
        <w:gridCol w:w="1579"/>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Trading Symbol</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Name of each exchange on which registered</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$1 par value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LMT</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120" w:after="283"/>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60" w:after="283"/>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60" w:after="283"/>
        <w:jc w:val="left"/>
        <w:rPr/>
      </w:pPr>
      <w:r>
        <w:rPr>
          <w:rFonts w:ascii="Arial;sans-serif" w:hAnsi="Arial;sans-serif"/>
          <w:b w:val="false"/>
          <w:color w:val="000000"/>
          <w:sz w:val="18"/>
        </w:rPr>
        <w:t xml:space="preserve">Large accelerated filer </w:t>
      </w:r>
      <w:r>
        <w:rPr>
          <w:color w:val="000000"/>
        </w:rPr>
        <w:t xml:space="preserve">☒ </w:t>
      </w:r>
      <w:r>
        <w:rPr>
          <w:rFonts w:ascii="Arial;sans-serif" w:hAnsi="Arial;sans-serif"/>
          <w:b w:val="false"/>
          <w:color w:val="000000"/>
          <w:sz w:val="18"/>
        </w:rPr>
        <w:t xml:space="preserve">Accelerated filer </w:t>
      </w:r>
      <w:r>
        <w:rPr>
          <w:color w:val="000000"/>
        </w:rPr>
        <w:t xml:space="preserve">☐ </w:t>
      </w:r>
      <w:r>
        <w:rPr>
          <w:rFonts w:ascii="Arial;sans-serif" w:hAnsi="Arial;sans-serif"/>
          <w:b w:val="false"/>
          <w:color w:val="000000"/>
          <w:sz w:val="18"/>
        </w:rPr>
        <w:t xml:space="preserve">Non–accelerated filer </w:t>
      </w:r>
      <w:r>
        <w:rPr>
          <w:color w:val="000000"/>
        </w:rPr>
        <w:t xml:space="preserve">☐ </w:t>
      </w:r>
      <w:r>
        <w:rPr>
          <w:rFonts w:ascii="Arial;sans-serif" w:hAnsi="Arial;sans-serif"/>
          <w:b w:val="false"/>
          <w:color w:val="000000"/>
          <w:sz w:val="18"/>
        </w:rPr>
        <w:t xml:space="preserve">Smaller reporting company </w:t>
      </w:r>
      <w:r>
        <w:rPr>
          <w:color w:val="000000"/>
        </w:rPr>
        <w:t xml:space="preserve">☐ </w:t>
      </w:r>
      <w:r>
        <w:rPr>
          <w:rFonts w:ascii="Arial;sans-serif" w:hAnsi="Arial;sans-serif"/>
          <w:b w:val="false"/>
          <w:color w:val="000000"/>
          <w:sz w:val="18"/>
        </w:rPr>
        <w:t>Emerging growth company </w:t>
      </w:r>
      <w:r>
        <w:rPr>
          <w:color w:val="000000"/>
        </w:rPr>
        <w:t xml:space="preserve">☐ </w:t>
      </w:r>
    </w:p>
    <w:p>
      <w:pPr>
        <w:pStyle w:val="TextBody"/>
        <w:bidi w:val="0"/>
        <w:spacing w:lineRule="auto" w:line="288" w:before="160" w:after="283"/>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283"/>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There were 231,004,640 shares of our common stock, $1 par value per share, outstanding as of October 19,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September 27, 2026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Table of Contents </w:t>
      </w:r>
    </w:p>
    <w:tbl>
      <w:tblPr>
        <w:tblW w:w="10205" w:type="dxa"/>
        <w:jc w:val="center"/>
        <w:tblInd w:w="0" w:type="dxa"/>
        <w:tblLayout w:type="fixed"/>
        <w:tblCellMar>
          <w:top w:w="28" w:type="dxa"/>
          <w:left w:w="28" w:type="dxa"/>
          <w:bottom w:w="28" w:type="dxa"/>
          <w:right w:w="28" w:type="dxa"/>
        </w:tblCellMar>
      </w:tblPr>
      <w:tblGrid>
        <w:gridCol w:w="318"/>
        <w:gridCol w:w="278"/>
        <w:gridCol w:w="278"/>
        <w:gridCol w:w="364"/>
        <w:gridCol w:w="364"/>
        <w:gridCol w:w="302"/>
        <w:gridCol w:w="2628"/>
        <w:gridCol w:w="2482"/>
        <w:gridCol w:w="2571"/>
        <w:gridCol w:w="180"/>
        <w:gridCol w:w="180"/>
        <w:gridCol w:w="260"/>
      </w:tblGrid>
      <w:tr>
        <w:trPr/>
        <w:tc>
          <w:tcPr>
            <w:tcW w:w="31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2C2C2C"/>
                <w:sz w:val="20"/>
              </w:rPr>
            </w:pPr>
            <w:r>
              <w:rPr>
                <w:rFonts w:ascii="Arial;sans-serif" w:hAnsi="Arial;sans-serif"/>
                <w:b/>
                <w:color w:val="2C2C2C"/>
                <w:sz w:val="20"/>
              </w:rPr>
              <w:t>Page</w:t>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10">
              <w:r>
                <w:rPr>
                  <w:rStyle w:val="InternetLink"/>
                  <w:rFonts w:ascii="Arial;sans-serif" w:hAnsi="Arial;sans-serif"/>
                  <w:b/>
                  <w:color w:val="0000FF"/>
                  <w:sz w:val="20"/>
                  <w:u w:val="single"/>
                </w:rPr>
                <w:t>PART I. FINANCIAL INFORMATION</w:t>
              </w:r>
            </w:hyperlink>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1.</w:t>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13">
              <w:r>
                <w:rPr>
                  <w:rStyle w:val="InternetLink"/>
                  <w:rFonts w:ascii="Arial;sans-serif" w:hAnsi="Arial;sans-serif"/>
                  <w:b w:val="false"/>
                  <w:color w:val="0000FF"/>
                  <w:sz w:val="20"/>
                  <w:u w:val="single"/>
                </w:rPr>
                <w:t xml:space="preserve">Financial Statements (Unaudited) </w:t>
              </w:r>
            </w:hyperlink>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7bb5a769f414c889a01c20e9627a359_16">
              <w:r>
                <w:rPr>
                  <w:rStyle w:val="InternetLink"/>
                  <w:rFonts w:ascii="Arial;sans-serif" w:hAnsi="Arial;sans-serif"/>
                  <w:b w:val="false"/>
                  <w:color w:val="0000FF"/>
                  <w:sz w:val="20"/>
                  <w:u w:val="single"/>
                </w:rPr>
                <w:t>Consolidated Statements of Earnings for the Quarters and Nine Months Ended September 27, 2026 and September 28, 2025</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16">
              <w:r>
                <w:rPr>
                  <w:rStyle w:val="InternetLink"/>
                  <w:rFonts w:ascii="Arial;sans-serif" w:hAnsi="Arial;sans-serif"/>
                  <w:b w:val="false"/>
                  <w:strike w:val="false"/>
                  <w:dstrike w:val="false"/>
                  <w:color w:val="2C2C2C"/>
                  <w:sz w:val="20"/>
                  <w:u w:val="none"/>
                  <w:effect w:val="none"/>
                </w:rPr>
                <w:t>3</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19">
              <w:r>
                <w:rPr>
                  <w:rStyle w:val="InternetLink"/>
                  <w:rFonts w:ascii="Arial;sans-serif" w:hAnsi="Arial;sans-serif"/>
                  <w:b w:val="false"/>
                  <w:color w:val="0000FF"/>
                  <w:sz w:val="20"/>
                  <w:u w:val="single"/>
                </w:rPr>
                <w:t>Consolidated Statements of Comprehensive Income for the Quarters and Nine Months Ended September 27, 2026 and September 28, 2025</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19">
              <w:r>
                <w:rPr>
                  <w:rStyle w:val="InternetLink"/>
                  <w:rFonts w:ascii="Arial;sans-serif" w:hAnsi="Arial;sans-serif"/>
                  <w:b w:val="false"/>
                  <w:strike w:val="false"/>
                  <w:dstrike w:val="false"/>
                  <w:color w:val="2C2C2C"/>
                  <w:sz w:val="20"/>
                  <w:u w:val="none"/>
                  <w:effect w:val="none"/>
                </w:rPr>
                <w:t>4</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22">
              <w:r>
                <w:rPr>
                  <w:rStyle w:val="InternetLink"/>
                  <w:rFonts w:ascii="Arial;sans-serif" w:hAnsi="Arial;sans-serif"/>
                  <w:b w:val="false"/>
                  <w:color w:val="0000FF"/>
                  <w:sz w:val="20"/>
                  <w:u w:val="single"/>
                </w:rPr>
                <w:t>Consolidated Balance Sheets as of September 27, 2026 and December 31, 2025</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22">
              <w:r>
                <w:rPr>
                  <w:rStyle w:val="InternetLink"/>
                  <w:rFonts w:ascii="Arial;sans-serif" w:hAnsi="Arial;sans-serif"/>
                  <w:b w:val="false"/>
                  <w:strike w:val="false"/>
                  <w:dstrike w:val="false"/>
                  <w:color w:val="2C2C2C"/>
                  <w:sz w:val="20"/>
                  <w:u w:val="none"/>
                  <w:effect w:val="none"/>
                </w:rPr>
                <w:t>5</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7bb5a769f414c889a01c20e9627a359_25">
              <w:r>
                <w:rPr>
                  <w:rStyle w:val="InternetLink"/>
                  <w:rFonts w:ascii="Arial;sans-serif" w:hAnsi="Arial;sans-serif"/>
                  <w:b w:val="false"/>
                  <w:color w:val="0000FF"/>
                  <w:sz w:val="20"/>
                  <w:u w:val="single"/>
                </w:rPr>
                <w:t>Consolidated Statements of Cash Flows for the Nine Months Ended September 27, 2026 and September 28, 2025</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25">
              <w:r>
                <w:rPr>
                  <w:rStyle w:val="InternetLink"/>
                  <w:rFonts w:ascii="Arial;sans-serif" w:hAnsi="Arial;sans-serif"/>
                  <w:b w:val="false"/>
                  <w:strike w:val="false"/>
                  <w:dstrike w:val="false"/>
                  <w:color w:val="2C2C2C"/>
                  <w:sz w:val="20"/>
                  <w:u w:val="none"/>
                  <w:effect w:val="none"/>
                </w:rPr>
                <w:t>6</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7bb5a769f414c889a01c20e9627a359_28">
              <w:r>
                <w:rPr>
                  <w:rStyle w:val="InternetLink"/>
                  <w:rFonts w:ascii="Arial;sans-serif" w:hAnsi="Arial;sans-serif"/>
                  <w:b w:val="false"/>
                  <w:color w:val="0000FF"/>
                  <w:sz w:val="20"/>
                  <w:u w:val="single"/>
                </w:rPr>
                <w:t>Consolidated Statements of Equity for the Quarters Ended September 27, 2026 and September 28, 2025</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color w:val="2C2C2C"/>
              </w:rPr>
              <w:t> </w:t>
            </w:r>
            <w:hyperlink w:anchor="id7bb5a769f414c889a01c20e9627a359_28">
              <w:r>
                <w:rPr>
                  <w:rStyle w:val="InternetLink"/>
                  <w:rFonts w:ascii="Arial;sans-serif" w:hAnsi="Arial;sans-serif"/>
                  <w:b w:val="false"/>
                  <w:strike w:val="false"/>
                  <w:dstrike w:val="false"/>
                  <w:color w:val="2C2C2C"/>
                  <w:sz w:val="20"/>
                  <w:u w:val="none"/>
                  <w:effect w:val="none"/>
                </w:rPr>
                <w:t>7</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7bb5a769f414c889a01c20e9627a359_31">
              <w:r>
                <w:rPr>
                  <w:rStyle w:val="InternetLink"/>
                  <w:rFonts w:ascii="Arial;sans-serif" w:hAnsi="Arial;sans-serif"/>
                  <w:b w:val="false"/>
                  <w:color w:val="0000FF"/>
                  <w:sz w:val="20"/>
                  <w:u w:val="single"/>
                </w:rPr>
                <w:t>Consolidated Statements of Equity for the Nine Months Ended September 27, 2026 and September 28, 2025</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31">
              <w:r>
                <w:rPr>
                  <w:rStyle w:val="InternetLink"/>
                  <w:rFonts w:ascii="Arial;sans-serif" w:hAnsi="Arial;sans-serif"/>
                  <w:b w:val="false"/>
                  <w:strike w:val="false"/>
                  <w:dstrike w:val="false"/>
                  <w:color w:val="2C2C2C"/>
                  <w:sz w:val="20"/>
                  <w:u w:val="none"/>
                  <w:effect w:val="none"/>
                </w:rPr>
                <w:t>8</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34">
              <w:r>
                <w:rPr>
                  <w:rStyle w:val="InternetLink"/>
                  <w:rFonts w:ascii="Arial;sans-serif" w:hAnsi="Arial;sans-serif"/>
                  <w:b w:val="false"/>
                  <w:color w:val="0000FF"/>
                  <w:sz w:val="20"/>
                  <w:u w:val="single"/>
                </w:rPr>
                <w:t>Notes to Consolidated Financial Statements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34">
              <w:r>
                <w:rPr>
                  <w:rStyle w:val="InternetLink"/>
                  <w:rFonts w:ascii="Arial;sans-serif" w:hAnsi="Arial;sans-serif"/>
                  <w:b w:val="false"/>
                  <w:strike w:val="false"/>
                  <w:dstrike w:val="false"/>
                  <w:color w:val="2C2C2C"/>
                  <w:sz w:val="20"/>
                  <w:u w:val="none"/>
                  <w:effect w:val="none"/>
                </w:rPr>
                <w:t>9</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76">
              <w:r>
                <w:rPr>
                  <w:rStyle w:val="InternetLink"/>
                  <w:rFonts w:ascii="Arial;sans-serif" w:hAnsi="Arial;sans-serif"/>
                  <w:b w:val="false"/>
                  <w:color w:val="0000FF"/>
                  <w:sz w:val="20"/>
                  <w:u w:val="single"/>
                </w:rPr>
                <w:t>Report of Independent Registered Public Accounting Firm</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76">
              <w:r>
                <w:rPr>
                  <w:rStyle w:val="InternetLink"/>
                  <w:rFonts w:ascii="Arial;sans-serif" w:hAnsi="Arial;sans-serif"/>
                  <w:b w:val="false"/>
                  <w:strike w:val="false"/>
                  <w:dstrike w:val="false"/>
                  <w:color w:val="2C2C2C"/>
                  <w:sz w:val="20"/>
                  <w:u w:val="none"/>
                  <w:effect w:val="none"/>
                </w:rPr>
                <w:t>26</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2.</w:t>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79">
              <w:r>
                <w:rPr>
                  <w:rStyle w:val="InternetLink"/>
                  <w:rFonts w:ascii="Arial;sans-serif" w:hAnsi="Arial;sans-serif"/>
                  <w:b w:val="false"/>
                  <w:color w:val="0000FF"/>
                  <w:sz w:val="20"/>
                  <w:u w:val="single"/>
                </w:rPr>
                <w:t>Management’s Discussion and Analysis of Financial Condition and Results of Operations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79">
              <w:r>
                <w:rPr>
                  <w:rStyle w:val="InternetLink"/>
                  <w:rFonts w:ascii="Arial;sans-serif" w:hAnsi="Arial;sans-serif"/>
                  <w:b w:val="false"/>
                  <w:strike w:val="false"/>
                  <w:dstrike w:val="false"/>
                  <w:color w:val="2C2C2C"/>
                  <w:sz w:val="20"/>
                  <w:u w:val="none"/>
                  <w:effect w:val="none"/>
                </w:rPr>
                <w:t>27</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3.</w:t>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100">
              <w:r>
                <w:rPr>
                  <w:rStyle w:val="InternetLink"/>
                  <w:rFonts w:ascii="Arial;sans-serif" w:hAnsi="Arial;sans-serif"/>
                  <w:b w:val="false"/>
                  <w:color w:val="0000FF"/>
                  <w:sz w:val="20"/>
                  <w:u w:val="single"/>
                </w:rPr>
                <w:t>Quantitative and Qualitative Disclosures About Market Risk</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100">
              <w:r>
                <w:rPr>
                  <w:rStyle w:val="InternetLink"/>
                  <w:rFonts w:ascii="Arial;sans-serif" w:hAnsi="Arial;sans-serif"/>
                  <w:b w:val="false"/>
                  <w:strike w:val="false"/>
                  <w:dstrike w:val="false"/>
                  <w:color w:val="2C2C2C"/>
                  <w:sz w:val="20"/>
                  <w:u w:val="none"/>
                  <w:effect w:val="none"/>
                </w:rPr>
                <w:t>39</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4.</w:t>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103">
              <w:r>
                <w:rPr>
                  <w:rStyle w:val="InternetLink"/>
                  <w:rFonts w:ascii="Arial;sans-serif" w:hAnsi="Arial;sans-serif"/>
                  <w:b w:val="false"/>
                  <w:color w:val="0000FF"/>
                  <w:sz w:val="20"/>
                  <w:u w:val="single"/>
                </w:rPr>
                <w:t>Controls and Procedures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103">
              <w:r>
                <w:rPr>
                  <w:rStyle w:val="InternetLink"/>
                  <w:rFonts w:ascii="Arial;sans-serif" w:hAnsi="Arial;sans-serif"/>
                  <w:b w:val="false"/>
                  <w:strike w:val="false"/>
                  <w:dstrike w:val="false"/>
                  <w:color w:val="2C2C2C"/>
                  <w:sz w:val="20"/>
                  <w:u w:val="none"/>
                  <w:effect w:val="none"/>
                </w:rPr>
                <w:t>39</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109">
              <w:r>
                <w:rPr>
                  <w:rStyle w:val="InternetLink"/>
                  <w:rFonts w:ascii="Arial;sans-serif" w:hAnsi="Arial;sans-serif"/>
                  <w:b/>
                  <w:color w:val="0000FF"/>
                  <w:sz w:val="20"/>
                  <w:u w:val="single"/>
                </w:rPr>
                <w:t>PART II. OTHER INFORMATION</w:t>
              </w:r>
            </w:hyperlink>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1.</w:t>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112">
              <w:r>
                <w:rPr>
                  <w:rStyle w:val="InternetLink"/>
                  <w:rFonts w:ascii="Arial;sans-serif" w:hAnsi="Arial;sans-serif"/>
                  <w:b w:val="false"/>
                  <w:color w:val="0000FF"/>
                  <w:sz w:val="20"/>
                  <w:u w:val="single"/>
                </w:rPr>
                <w:t>Legal Proceedings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112">
              <w:r>
                <w:rPr>
                  <w:rStyle w:val="InternetLink"/>
                  <w:rFonts w:ascii="Arial;sans-serif" w:hAnsi="Arial;sans-serif"/>
                  <w:b w:val="false"/>
                  <w:strike w:val="false"/>
                  <w:dstrike w:val="false"/>
                  <w:color w:val="2C2C2C"/>
                  <w:sz w:val="20"/>
                  <w:u w:val="none"/>
                  <w:effect w:val="none"/>
                </w:rPr>
                <w:t>42</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1A.</w:t>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115">
              <w:r>
                <w:rPr>
                  <w:rStyle w:val="InternetLink"/>
                  <w:rFonts w:ascii="Arial;sans-serif" w:hAnsi="Arial;sans-serif"/>
                  <w:b w:val="false"/>
                  <w:color w:val="0000FF"/>
                  <w:sz w:val="20"/>
                  <w:u w:val="single"/>
                </w:rPr>
                <w:t>Risk Factors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115">
              <w:r>
                <w:rPr>
                  <w:rStyle w:val="InternetLink"/>
                  <w:rFonts w:ascii="Arial;sans-serif" w:hAnsi="Arial;sans-serif"/>
                  <w:b w:val="false"/>
                  <w:strike w:val="false"/>
                  <w:dstrike w:val="false"/>
                  <w:color w:val="2C2C2C"/>
                  <w:sz w:val="20"/>
                  <w:u w:val="none"/>
                  <w:effect w:val="none"/>
                </w:rPr>
                <w:t>42</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2.</w:t>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118">
              <w:r>
                <w:rPr>
                  <w:rStyle w:val="InternetLink"/>
                  <w:rFonts w:ascii="Arial;sans-serif" w:hAnsi="Arial;sans-serif"/>
                  <w:b w:val="false"/>
                  <w:color w:val="0000FF"/>
                  <w:sz w:val="20"/>
                  <w:u w:val="single"/>
                </w:rPr>
                <w:t>Unregistered Sales of Equity Securities and Use of Proceeds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118">
              <w:r>
                <w:rPr>
                  <w:rStyle w:val="InternetLink"/>
                  <w:rFonts w:ascii="Arial;sans-serif" w:hAnsi="Arial;sans-serif"/>
                  <w:b w:val="false"/>
                  <w:strike w:val="false"/>
                  <w:dstrike w:val="false"/>
                  <w:color w:val="2C2C2C"/>
                  <w:sz w:val="20"/>
                  <w:u w:val="none"/>
                  <w:effect w:val="none"/>
                </w:rPr>
                <w:t>42</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5.</w:t>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121">
              <w:r>
                <w:rPr>
                  <w:rStyle w:val="InternetLink"/>
                  <w:rFonts w:ascii="Arial;sans-serif" w:hAnsi="Arial;sans-serif"/>
                  <w:b w:val="false"/>
                  <w:color w:val="0000FF"/>
                  <w:sz w:val="20"/>
                  <w:u w:val="single"/>
                </w:rPr>
                <w:t>Other Information</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121">
              <w:r>
                <w:rPr>
                  <w:rStyle w:val="InternetLink"/>
                  <w:rFonts w:ascii="Arial;sans-serif" w:hAnsi="Arial;sans-serif"/>
                  <w:b w:val="false"/>
                  <w:strike w:val="false"/>
                  <w:dstrike w:val="false"/>
                  <w:color w:val="2C2C2C"/>
                  <w:sz w:val="20"/>
                  <w:u w:val="none"/>
                  <w:effect w:val="none"/>
                </w:rPr>
                <w:t>42</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ITEM 6.</w:t>
            </w:r>
          </w:p>
        </w:tc>
        <w:tc>
          <w:tcPr>
            <w:tcW w:w="76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124">
              <w:r>
                <w:rPr>
                  <w:rStyle w:val="InternetLink"/>
                  <w:rFonts w:ascii="Arial;sans-serif" w:hAnsi="Arial;sans-serif"/>
                  <w:b w:val="false"/>
                  <w:color w:val="0000FF"/>
                  <w:sz w:val="20"/>
                  <w:u w:val="single"/>
                </w:rPr>
                <w:t>Exhibits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124">
              <w:r>
                <w:rPr>
                  <w:rStyle w:val="InternetLink"/>
                  <w:rFonts w:ascii="Arial;sans-serif" w:hAnsi="Arial;sans-serif"/>
                  <w:b w:val="false"/>
                  <w:strike w:val="false"/>
                  <w:dstrike w:val="false"/>
                  <w:color w:val="2C2C2C"/>
                  <w:sz w:val="20"/>
                  <w:u w:val="none"/>
                  <w:effect w:val="none"/>
                </w:rPr>
                <w:t>43</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7bb5a769f414c889a01c20e9627a359_127">
              <w:r>
                <w:rPr>
                  <w:rStyle w:val="InternetLink"/>
                  <w:rFonts w:ascii="Arial;sans-serif" w:hAnsi="Arial;sans-serif"/>
                  <w:b/>
                  <w:color w:val="0000FF"/>
                  <w:sz w:val="20"/>
                  <w:u w:val="single"/>
                </w:rPr>
                <w:t>SIGNATURE</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bb5a769f414c889a01c20e9627a359_127">
              <w:r>
                <w:rPr>
                  <w:rStyle w:val="InternetLink"/>
                  <w:rFonts w:ascii="Arial;sans-serif" w:hAnsi="Arial;sans-serif"/>
                  <w:b w:val="false"/>
                  <w:strike w:val="false"/>
                  <w:dstrike w:val="false"/>
                  <w:color w:val="2C2C2C"/>
                  <w:sz w:val="20"/>
                  <w:u w:val="none"/>
                  <w:effect w:val="none"/>
                </w:rPr>
                <w:t>44</w:t>
              </w:r>
            </w:hyperlink>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millions, except per share data)</w:t>
      </w:r>
    </w:p>
    <w:tbl>
      <w:tblPr>
        <w:tblW w:w="10205" w:type="dxa"/>
        <w:jc w:val="center"/>
        <w:tblInd w:w="0" w:type="dxa"/>
        <w:tblLayout w:type="fixed"/>
        <w:tblCellMar>
          <w:top w:w="28" w:type="dxa"/>
          <w:left w:w="28" w:type="dxa"/>
          <w:bottom w:w="28" w:type="dxa"/>
          <w:right w:w="28" w:type="dxa"/>
        </w:tblCellMar>
      </w:tblPr>
      <w:tblGrid>
        <w:gridCol w:w="1130"/>
        <w:gridCol w:w="986"/>
        <w:gridCol w:w="989"/>
        <w:gridCol w:w="109"/>
        <w:gridCol w:w="109"/>
        <w:gridCol w:w="109"/>
        <w:gridCol w:w="216"/>
        <w:gridCol w:w="772"/>
        <w:gridCol w:w="111"/>
        <w:gridCol w:w="111"/>
        <w:gridCol w:w="111"/>
        <w:gridCol w:w="111"/>
        <w:gridCol w:w="109"/>
        <w:gridCol w:w="109"/>
        <w:gridCol w:w="109"/>
        <w:gridCol w:w="216"/>
        <w:gridCol w:w="772"/>
        <w:gridCol w:w="111"/>
        <w:gridCol w:w="111"/>
        <w:gridCol w:w="111"/>
        <w:gridCol w:w="111"/>
        <w:gridCol w:w="109"/>
        <w:gridCol w:w="109"/>
        <w:gridCol w:w="109"/>
        <w:gridCol w:w="216"/>
        <w:gridCol w:w="772"/>
        <w:gridCol w:w="111"/>
        <w:gridCol w:w="111"/>
        <w:gridCol w:w="111"/>
        <w:gridCol w:w="111"/>
        <w:gridCol w:w="109"/>
        <w:gridCol w:w="109"/>
        <w:gridCol w:w="109"/>
        <w:gridCol w:w="216"/>
        <w:gridCol w:w="771"/>
        <w:gridCol w:w="111"/>
        <w:gridCol w:w="111"/>
        <w:gridCol w:w="111"/>
        <w:gridCol w:w="176"/>
      </w:tblGrid>
      <w:tr>
        <w:trPr/>
        <w:tc>
          <w:tcPr>
            <w:tcW w:w="113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3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17,429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49,043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9,752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20,711</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58,795</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54,727 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costs and expenses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(15,609)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(44,070)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(41,461)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(8,528)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Impairment and other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unallocated,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(18,275)</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(16,369)</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(51,835)</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(49,430)</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2,436</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6,960</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2,443</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6,985</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Non-service FAS pension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2,172</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6,124</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1,845</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5,169</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7.97</w:t>
            </w:r>
            <w:r>
              <w:rPr>
                <w:color w:val="000000"/>
              </w:rPr>
              <w:t>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22.36</w:t>
            </w:r>
            <w:r>
              <w:rPr>
                <w:color w:val="000000"/>
              </w:rPr>
              <w:t>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60"/>
        <w:gridCol w:w="1348"/>
        <w:gridCol w:w="1366"/>
        <w:gridCol w:w="259"/>
        <w:gridCol w:w="796"/>
        <w:gridCol w:w="136"/>
        <w:gridCol w:w="109"/>
        <w:gridCol w:w="109"/>
        <w:gridCol w:w="109"/>
        <w:gridCol w:w="259"/>
        <w:gridCol w:w="796"/>
        <w:gridCol w:w="136"/>
        <w:gridCol w:w="109"/>
        <w:gridCol w:w="109"/>
        <w:gridCol w:w="109"/>
        <w:gridCol w:w="259"/>
        <w:gridCol w:w="796"/>
        <w:gridCol w:w="136"/>
        <w:gridCol w:w="109"/>
        <w:gridCol w:w="109"/>
        <w:gridCol w:w="109"/>
        <w:gridCol w:w="216"/>
        <w:gridCol w:w="663"/>
        <w:gridCol w:w="111"/>
        <w:gridCol w:w="111"/>
        <w:gridCol w:w="111"/>
        <w:gridCol w:w="165"/>
      </w:tblGrid>
      <w:tr>
        <w:trPr/>
        <w:tc>
          <w:tcPr>
            <w:tcW w:w="156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42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1,845</w:t>
            </w: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5,169</w:t>
            </w: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benefits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actuarial losses and prior service costs, net of tax of $17 million and $50 million in 2026 and $16 million and $51 million in 2025</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net of tax of $3 million and $8 million in 2026 and $1 million and $17 million in 2025</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10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1,893</w:t>
            </w:r>
            <w:r>
              <w:rPr>
                <w:color w:val="000000"/>
              </w:rPr>
              <w:t> </w:t>
            </w:r>
          </w:p>
        </w:tc>
        <w:tc>
          <w:tcPr>
            <w:tcW w:w="1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1,674 </w:t>
            </w:r>
          </w:p>
        </w:tc>
        <w:tc>
          <w:tcPr>
            <w:tcW w:w="1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5,291</w:t>
            </w:r>
            <w:r>
              <w:rPr>
                <w:color w:val="000000"/>
              </w:rPr>
              <w:t> </w:t>
            </w:r>
          </w:p>
        </w:tc>
        <w:tc>
          <w:tcPr>
            <w:tcW w:w="1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4,023 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except par value)</w:t>
      </w:r>
    </w:p>
    <w:tbl>
      <w:tblPr>
        <w:tblW w:w="7091" w:type="dxa"/>
        <w:jc w:val="center"/>
        <w:tblInd w:w="0" w:type="dxa"/>
        <w:tblLayout w:type="fixed"/>
        <w:tblCellMar>
          <w:top w:w="28" w:type="dxa"/>
          <w:left w:w="28" w:type="dxa"/>
          <w:bottom w:w="28" w:type="dxa"/>
          <w:right w:w="28" w:type="dxa"/>
        </w:tblCellMar>
      </w:tblPr>
      <w:tblGrid>
        <w:gridCol w:w="1283"/>
        <w:gridCol w:w="1127"/>
        <w:gridCol w:w="1145"/>
        <w:gridCol w:w="109"/>
        <w:gridCol w:w="109"/>
        <w:gridCol w:w="109"/>
        <w:gridCol w:w="217"/>
        <w:gridCol w:w="774"/>
        <w:gridCol w:w="112"/>
        <w:gridCol w:w="112"/>
        <w:gridCol w:w="112"/>
        <w:gridCol w:w="112"/>
        <w:gridCol w:w="109"/>
        <w:gridCol w:w="109"/>
        <w:gridCol w:w="109"/>
        <w:gridCol w:w="211"/>
        <w:gridCol w:w="751"/>
        <w:gridCol w:w="109"/>
        <w:gridCol w:w="109"/>
        <w:gridCol w:w="109"/>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3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5,960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16,899</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3,987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1,059</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31,001</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11,524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11,299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1,819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7,130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64,510</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benefits and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3,349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12,644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3,542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24,540</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20,498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pension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3,938</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5,471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54,447</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Common stock, $1 par value per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16,802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stockholders’ equity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10,063</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64,510</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2429"/>
        <w:gridCol w:w="2109"/>
        <w:gridCol w:w="2116"/>
        <w:gridCol w:w="109"/>
        <w:gridCol w:w="109"/>
        <w:gridCol w:w="109"/>
        <w:gridCol w:w="232"/>
        <w:gridCol w:w="712"/>
        <w:gridCol w:w="119"/>
        <w:gridCol w:w="119"/>
        <w:gridCol w:w="119"/>
        <w:gridCol w:w="119"/>
        <w:gridCol w:w="109"/>
        <w:gridCol w:w="109"/>
        <w:gridCol w:w="109"/>
        <w:gridCol w:w="231"/>
        <w:gridCol w:w="710"/>
        <w:gridCol w:w="119"/>
        <w:gridCol w:w="119"/>
        <w:gridCol w:w="119"/>
        <w:gridCol w:w="179"/>
      </w:tblGrid>
      <w:tr>
        <w:trPr/>
        <w:tc>
          <w:tcPr>
            <w:tcW w:w="242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6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66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5,169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earnings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r>
      <w:tr>
        <w:trPr/>
        <w:tc>
          <w:tcPr>
            <w:tcW w:w="6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Impairment and other charges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Reach-forward losses on select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Qualified 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277</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(3,898)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1,204</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6,893</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(1,360)</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long-term debt, net of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(3,694)</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1,839</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5,960</w:t>
            </w:r>
            <w:r>
              <w:rPr>
                <w:color w:val="000000"/>
              </w:rPr>
              <w:t> </w:t>
            </w:r>
          </w:p>
        </w:tc>
        <w:tc>
          <w:tcPr>
            <w:tcW w:w="11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3,470 </w:t>
            </w:r>
          </w:p>
        </w:tc>
        <w:tc>
          <w:tcPr>
            <w:tcW w:w="11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Quarters Ended September 27, 2026 and September 28, 2025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1310"/>
        <w:gridCol w:w="1012"/>
        <w:gridCol w:w="1012"/>
        <w:gridCol w:w="253"/>
        <w:gridCol w:w="577"/>
        <w:gridCol w:w="131"/>
        <w:gridCol w:w="211"/>
        <w:gridCol w:w="481"/>
        <w:gridCol w:w="109"/>
        <w:gridCol w:w="109"/>
        <w:gridCol w:w="109"/>
        <w:gridCol w:w="109"/>
        <w:gridCol w:w="211"/>
        <w:gridCol w:w="751"/>
        <w:gridCol w:w="109"/>
        <w:gridCol w:w="254"/>
        <w:gridCol w:w="779"/>
        <w:gridCol w:w="131"/>
        <w:gridCol w:w="131"/>
        <w:gridCol w:w="131"/>
        <w:gridCol w:w="135"/>
        <w:gridCol w:w="109"/>
        <w:gridCol w:w="109"/>
        <w:gridCol w:w="706"/>
        <w:gridCol w:w="109"/>
        <w:gridCol w:w="211"/>
        <w:gridCol w:w="751"/>
        <w:gridCol w:w="155"/>
      </w:tblGrid>
      <w:tr>
        <w:trPr/>
        <w:tc>
          <w:tcPr>
            <w:tcW w:w="131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w:t>
              <w:br/>
              <w:t>Stock</w:t>
            </w:r>
          </w:p>
        </w:tc>
        <w:tc>
          <w:tcPr>
            <w:tcW w:w="11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w:t>
              <w:br/>
              <w:t>Paid-in</w:t>
              <w:br/>
              <w:t>Capital</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Retained</w:t>
              <w:br/>
              <w:t>Earnings</w:t>
            </w:r>
          </w:p>
        </w:tc>
        <w:tc>
          <w:tcPr>
            <w:tcW w:w="15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w:t>
              <w:br/>
              <w:t>Other</w:t>
              <w:br/>
              <w:t>Comprehensive</w:t>
              <w:br/>
              <w:t>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br/>
              <w:t>Equity</w:t>
            </w:r>
          </w:p>
        </w:tc>
        <w:tc>
          <w:tcPr>
            <w:tcW w:w="1226" w:type="dxa"/>
            <w:gridSpan w:val="4"/>
            <w:tcBorders/>
          </w:tcPr>
          <w:p>
            <w:pPr>
              <w:pStyle w:val="TableContents"/>
              <w:bidi w:val="0"/>
              <w:spacing w:before="0" w:after="283"/>
              <w:jc w:val="left"/>
              <w:rPr>
                <w:sz w:val="4"/>
                <w:szCs w:val="4"/>
              </w:rPr>
            </w:pPr>
            <w:r>
              <w:rPr>
                <w:sz w:val="4"/>
                <w:szCs w:val="4"/>
              </w:rPr>
            </w:r>
          </w:p>
        </w:tc>
      </w:tr>
      <w:tr>
        <w:trPr/>
        <w:tc>
          <w:tcPr>
            <w:tcW w:w="33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28, 2026</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15,759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(7,468)</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8,768</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1,845</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($3.45 per share)</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awards, ESOP activity and other</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27, 2026</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16,802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(7,420)</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10,063</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29, 2025</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Dividends declared </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awards, ESOP activity and other</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28, 2025</w:t>
            </w:r>
          </w:p>
        </w:tc>
        <w:tc>
          <w:tcPr>
            <w:tcW w:w="25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3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14,053 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(8,102)</w:t>
            </w:r>
          </w:p>
        </w:tc>
        <w:tc>
          <w:tcPr>
            <w:tcW w:w="13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6,181 </w:t>
            </w:r>
          </w:p>
        </w:tc>
        <w:tc>
          <w:tcPr>
            <w:tcW w:w="15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Nine Months Ended September 27, 2026 and September 28, 2025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1282"/>
        <w:gridCol w:w="1022"/>
        <w:gridCol w:w="1029"/>
        <w:gridCol w:w="253"/>
        <w:gridCol w:w="577"/>
        <w:gridCol w:w="131"/>
        <w:gridCol w:w="211"/>
        <w:gridCol w:w="481"/>
        <w:gridCol w:w="109"/>
        <w:gridCol w:w="109"/>
        <w:gridCol w:w="109"/>
        <w:gridCol w:w="109"/>
        <w:gridCol w:w="211"/>
        <w:gridCol w:w="751"/>
        <w:gridCol w:w="109"/>
        <w:gridCol w:w="254"/>
        <w:gridCol w:w="779"/>
        <w:gridCol w:w="131"/>
        <w:gridCol w:w="131"/>
        <w:gridCol w:w="131"/>
        <w:gridCol w:w="135"/>
        <w:gridCol w:w="109"/>
        <w:gridCol w:w="109"/>
        <w:gridCol w:w="706"/>
        <w:gridCol w:w="109"/>
        <w:gridCol w:w="211"/>
        <w:gridCol w:w="751"/>
        <w:gridCol w:w="156"/>
      </w:tblGrid>
      <w:tr>
        <w:trPr/>
        <w:tc>
          <w:tcPr>
            <w:tcW w:w="128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w:t>
              <w:br/>
              <w:t>Stock</w:t>
            </w:r>
          </w:p>
        </w:tc>
        <w:tc>
          <w:tcPr>
            <w:tcW w:w="11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w:t>
              <w:br/>
              <w:t>Paid-in</w:t>
              <w:br/>
              <w:t>Capital</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Retained</w:t>
              <w:br/>
              <w:t>Earnings</w:t>
            </w:r>
          </w:p>
        </w:tc>
        <w:tc>
          <w:tcPr>
            <w:tcW w:w="15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w:t>
              <w:br/>
              <w:t>Other</w:t>
              <w:br/>
              <w:t>Comprehensive</w:t>
              <w:br/>
              <w:t>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br/>
              <w:t>Equity</w:t>
            </w:r>
          </w:p>
        </w:tc>
        <w:tc>
          <w:tcPr>
            <w:tcW w:w="1227" w:type="dxa"/>
            <w:gridSpan w:val="4"/>
            <w:tcBorders/>
          </w:tcPr>
          <w:p>
            <w:pPr>
              <w:pStyle w:val="TableContents"/>
              <w:bidi w:val="0"/>
              <w:spacing w:before="0" w:after="283"/>
              <w:jc w:val="left"/>
              <w:rPr>
                <w:sz w:val="4"/>
                <w:szCs w:val="4"/>
              </w:rPr>
            </w:pPr>
            <w:r>
              <w:rPr>
                <w:sz w:val="4"/>
                <w:szCs w:val="4"/>
              </w:rPr>
            </w:r>
          </w:p>
        </w:tc>
      </w:tr>
      <w:tr>
        <w:trPr/>
        <w:tc>
          <w:tcPr>
            <w:tcW w:w="33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(7,542)</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6,721</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5,169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($10.35 per share)</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Stock-based awards, ESOP activity and other</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27, 2026</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16,802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(7,420)</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10,063</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($9.90 per share)</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Stock-based awards, ESOP activity and other</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333"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28, 2025</w:t>
            </w:r>
          </w:p>
        </w:tc>
        <w:tc>
          <w:tcPr>
            <w:tcW w:w="25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3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14,053 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(8,102)</w:t>
            </w:r>
          </w:p>
        </w:tc>
        <w:tc>
          <w:tcPr>
            <w:tcW w:w="13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6,181 </w:t>
            </w:r>
          </w:p>
        </w:tc>
        <w:tc>
          <w:tcPr>
            <w:tcW w:w="15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1 - BASIS OF PRESENTATION</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We prepared these consolidated financial statements in accordance with U.S. generally accepted accounting principles (GAAP) for interim financial information, the instructions to Form 10-Q and Article 10 of U.S. Securities and Exchange Commission (SEC) Regulation S-X. Accordingly, they do not include all of the information and notes required by GAAP for complete financial statements.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In the opinion of management, these consolidated financial statements reflect all adjustments that are of a normal recurring nature necessary for a fair presentation of our results of operations, financial condition, and cash flows for the interim periods presented. The preparation of these consolidated financial statements requires us to make estimates and assumptions that affect the amounts reported in the consolidated financial statements and accompanying notes. We base these estimates on historical experience and on various other assumptions that we believe are reasonable under the circumstances, the results of which form the basis for making judgments about the carrying amounts of assets and liabilities that are not readily apparent from other sources. Our actual results may differ materially from these estimates. Estimates inherent in the preparation of our consolidated financial statements include, but are not limited to, accounting for sales, cost recognition and profit booking rates; retirement benefits; environmental liabilities and assets for the portion of environmental costs that are probable of future recovery; evaluation of goodwill, intangible assets, investments and other assets for impairment; income taxes, including deferred income taxes; fair value measurements; and contingencies. The consolidated financial statements include the accounts of subsidiaries we control and variable interest entities if we are the primary beneficiary. We eliminate intercompany balances and transactions in consolidation. </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We close our books and records on the last Sunday of each interim calendar quarter, which was on September 27 for the third quarter of 2026 and September 28 for the third quarter of 2025, to align our financial closing with our business processes. The consolidated financial statements and tables of financial information included herein are labeled based on that convention. This practice only affects interim periods as our fiscal year ends on December 31.</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The results of operations for the interim periods presented are not necessarily indicative of results to be expected for the full year or future periods. Unless otherwise noted, we present all per share amounts cited in these consolidated financial statements on a “per diluted share” basis. These consolidated financial statements should be read in conjunction with the audited consolidated financial statements and notes thereto included in our Annual Report on Form 10-K for the year ended December 31, 2025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 SIGNIFICANT ACCOUNTING POLICIES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Revenue Recognition</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We generate sales from long-term contracts for the research, design, development, manufacture, integration and sustainment of advanced technology systems, products and services. We recognize revenue as performance obligations are satisfied and the customer obtains control of the products and services. 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For performance obligations in which control does not continuously transfer to the customer, we recognize revenue at the point in time in which each performance obligation is fully satisfied.</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 xml:space="preserve">Significant judgments and assumptions are made in estimating contract sales, costs, and profit. We estimate profit as the difference between total estimated sales and total estimated costs to complete the contract and recognize profit as costs are incurred (over time sales recognition) or when the customer accepts the product or service (point in time sales recognition). Contract sales may include estimates of variable consideration, including cost or performance incentives (such as award and incentive fees), unpriced change orders, requests for equitable adjustment (REAs), and contract claims. Variable consideration is included in total estimated sales to the extent it is probable that a significant reversal in the amount of cumulative sales recognized will not occur when the uncertainty associated with the variable consideration is subsequently resolved. We also estimate variable consideration as the most likely amount to which we expect to be entitled. Contract costs include significant estimates related to labor, subcontractors, materials, overhead, general and administrative expenses, and costs to fulfill our industrial cooperation agreements, sometimes referred to as offset or localization agreements, required under certain contracts with international customers. Significant estimates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(unaudited)</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costs include, but are not limited to, the complexity and scope of the work to be performed, labor productivity and availability, labor rates including terms of collective bargaining arrangements, execution by our subcontractors, the availability and cost of materials including any impact from changing costs or inflation, the length of time to complete the performance obligation, overhead and general and administrative cost rates, and estimated useful lives of components and assets, among others. In particular, fixed-price development programs involve significant management judgment, as development contracts by nature have elements that have not been done before and thus, are highly subject to future unexpected changes in estimates as described below.</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At the outset of a long-term contract, we identify and monitor risks to the achievement of the technical, schedule and cost aspects of the contract, as well as our ability to earn variable consideration, and assess the effects of those risks on our estimates of sales and total costs to complete the contract. The estimates consider the technical requirements (e.g., a newly developed product versus a mature product), the schedule and associated tasks (e.g., the number and type of milestone events) and costs (e.g., labor, subcontractors, materials, overhead, general and administrative expenses, and offset or localization agreements). The initial profit booking rate of each contract considers risks surrounding the ability to achieve the technical requirements, schedule and costs in the initial estimated total costs to complete the contract. We review our estimates related to sales, cost, and profit for each contract at least annually or when a change in circumstances warrants a modification to a previous estimate. For significant contracts, we review our estimates more frequently. As part of this process, management reviews information including, but not limited to, any outstanding key contract matters, progress towards completion and the related program schedule, identified risks and opportunities, and the related changes in estimates of revenues and costs. Profit booking rates may increase during the performance of the contract if we successfully retire risks related to earning variable consideration and/or the technical, schedule and cost aspects of the contract, which decreases the estimated total costs to complete the contract or may increase the variable consideration we expect to receive on the contract, which we refer to as favorable profit booking rate adjustments. Conversely, our profit booking rates may decrease if the estimated total costs to complete the contract increase or our estimates of variable consideration we expect to receive decrease, which we refer to as unfavorable profit booking rate adjustments.</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We recognize changes in estimated contract sales or costs and the resulting changes in contract profit on a cumulative basis. Cumulative profit booking rate adjustments represent the cumulative effect of the changes on current and prior periods; sales and operating margins in future periods are recognized as if the revised estimates had been used since contract inception. Profit booking rate adjustments can have a significant effect on our financial statements and affect the comparability of our segment sales, operating profit and operating margin. Segment operating profit and margin can also be impacted favorably or unfavorably by, for example, certain items such as the positive resolution of contractual matters, cost recoveries on severance and restructuring, insurance recoveries and gains on sales of assets, as well as unfavorable items including the adverse resolution of contractual matters, supply chain disruptions, restructuring charges (except for significant severance actions, which are excluded from segment operating results), reserves for disputes, certain asset impairments, and losses on sales of certain assets. When estimates of total costs to be incurred on a contract exceed total estimates of the transaction price, a provision for the entire loss is determined at the contract level and is recorded in the period in which the loss is evident, which we refer to as a reach-forward loss.</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presents the effect of profit booking rate adjustments on our financial results (in millions, except per share data):</w:t>
      </w:r>
    </w:p>
    <w:tbl>
      <w:tblPr>
        <w:tblW w:w="10205" w:type="dxa"/>
        <w:jc w:val="left"/>
        <w:tblInd w:w="0" w:type="dxa"/>
        <w:tblLayout w:type="fixed"/>
        <w:tblCellMar>
          <w:top w:w="28" w:type="dxa"/>
          <w:left w:w="28" w:type="dxa"/>
          <w:bottom w:w="28" w:type="dxa"/>
          <w:right w:w="28" w:type="dxa"/>
        </w:tblCellMar>
      </w:tblPr>
      <w:tblGrid>
        <w:gridCol w:w="1117"/>
        <w:gridCol w:w="982"/>
        <w:gridCol w:w="992"/>
        <w:gridCol w:w="109"/>
        <w:gridCol w:w="109"/>
        <w:gridCol w:w="109"/>
        <w:gridCol w:w="230"/>
        <w:gridCol w:w="528"/>
        <w:gridCol w:w="313"/>
        <w:gridCol w:w="119"/>
        <w:gridCol w:w="119"/>
        <w:gridCol w:w="119"/>
        <w:gridCol w:w="109"/>
        <w:gridCol w:w="109"/>
        <w:gridCol w:w="109"/>
        <w:gridCol w:w="230"/>
        <w:gridCol w:w="528"/>
        <w:gridCol w:w="313"/>
        <w:gridCol w:w="119"/>
        <w:gridCol w:w="119"/>
        <w:gridCol w:w="119"/>
        <w:gridCol w:w="109"/>
        <w:gridCol w:w="109"/>
        <w:gridCol w:w="109"/>
        <w:gridCol w:w="211"/>
        <w:gridCol w:w="646"/>
        <w:gridCol w:w="286"/>
        <w:gridCol w:w="109"/>
        <w:gridCol w:w="109"/>
        <w:gridCol w:w="109"/>
        <w:gridCol w:w="109"/>
        <w:gridCol w:w="109"/>
        <w:gridCol w:w="109"/>
        <w:gridCol w:w="230"/>
        <w:gridCol w:w="526"/>
        <w:gridCol w:w="312"/>
        <w:gridCol w:w="118"/>
        <w:gridCol w:w="118"/>
        <w:gridCol w:w="176"/>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30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426</w:t>
            </w:r>
            <w:r>
              <w:rPr>
                <w:color w:val="000000"/>
              </w:rPr>
              <w:t>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1,050</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375</w:t>
            </w: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segment 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w:t>
            </w: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(loss) per share</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31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31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3.30</w:t>
            </w:r>
            <w:r>
              <w:rPr>
                <w:color w:val="000000"/>
              </w:rPr>
              <w:t> </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(0.67)</w:t>
            </w:r>
          </w:p>
        </w:tc>
        <w:tc>
          <w:tcPr>
            <w:tcW w:w="31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 xml:space="preserve">During the nine months ended September 27, 2026, we recorded unfavorable profit adjustments of $170 million on the F-16 program at Aeronautics as a result of production performance and development delays, $175 million on the C-130 program at Aeronautics as a result of continued diminishing manufacturing source integration challenges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(unaudited)</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 xml:space="preserve">associated delivery delays, $125 million on the Heavy Lift program at RMS as a result of production performance, and $95 million on the Seahawk program at RMS as a result of production performance and schedule delays. During the nine months ended September 28, 2025, we recorded losses of $950 million on an ongoing classified program at Aeronautics, and $570 million on Canadian Maritime Helicopter Program (CMHP) and $95 million on Türkish Utility Helicopter Program (TUHP) at RMS and $105 million of unfavorable profit adjustments on the C-130 program at our Aeronautics business segment. In addition to the losses and unfavorable profit adjustments above, during the nine months ended September 28, 2025 we also recorded $130 million of favorable adjustments upon completion on certain commercial civil space programs at Space and $80 million favorable adjustments upon completion of a classified program at Aeronautics. </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We have various development programs for new and upgraded products, services, and related technologies which have complex design and technical challenges. This development work is inherently uncertain and subject to significant variability in estimates of the cost and time required to complete the work by us and our suppliers. Many of these programs have cost-type contracting arrangements (e.g., cost-reimbursable or cost-plus-fee). In such cases, the associated financial risks are primarily in reduced fees, lower profit rates, or program cancellation if cost, schedule, or technical performance issues arise. However, some of our existing development programs are contracted on a fixed-price basis or include cost-type contracting for the development phase with fixed-price production options. Our customers continue to implement procurement strategies such as these that shift risk to contractors. Competitively bid programs with fixed-price development work or fixed-price production options increase the risk of a reach-forward loss upon contract award and during the period of contract performance. Due to the complex and often experimental nature of development programs, we may experience (and have experienced in the past) technical and quality issues during the development of new products or technologies for a variety of reasons. Our development programs are ongoing, and while we believe the cost and fee estimates incorporated in the financial statements are appropriate, the technical complexity of these programs and fixed-price contract structure creates financial risk as estimated completion costs may exceed the current contract value, which could trigger earnings charges, termination provisions, or other financially significant exposures. These programs have risk for reach-forward losses if our estimated costs exceed our estimated contract revenues, and such losses could be significant to our financial results in any period that they are recognized. Any such losses are recognized in the period in which the loss is evident.</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Aeronautics Classified Program</w:t>
      </w:r>
    </w:p>
    <w:p>
      <w:pPr>
        <w:pStyle w:val="TextBody"/>
        <w:bidi w:val="0"/>
        <w:spacing w:lineRule="auto" w:line="276"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Our Aeronautics business segment has been performing on an existing classified program, with the initial phase on a fixed-price incentive fee contract with fixed-price incentive fee options for additional phases. These phases involve highly complex design and systems integration, and we have previously disclosed that we have experienced significant performance issues. Most recently in the second quarter of 2025, we recognized additional reach-forward losses of $950 million across both phases of the program that were driven primarily by: (1) software development performance degradation and integration findings observed over a continued period; (2) learnings in recent software and build experience on another program specifically relevant to the program; (3) significant changes in test plan resulting from customer discussions and changes in test execution strategy; (4) safety-critical and other necessary design and engineering changes in response to certain observed performance degradation and a discrete event; and (5) complete schedule realignment, including as a result of items (1) through (4).</w:t>
      </w:r>
    </w:p>
    <w:p>
      <w:pPr>
        <w:pStyle w:val="TextBody"/>
        <w:bidi w:val="0"/>
        <w:spacing w:lineRule="auto" w:line="276"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As of September 27, 2026, cumulative losses recognized to date on this program remained at approximately $1.8 billion in total, of which $394 million remained accrued in other current liabilities on our consolidated balance sheets. We continue to proactively manage the technical requirements and our performance, the remaining work and any future changes in scope or schedule, and estimated costs to complete the program, including future phases. Due to the nature of the highly complex design and systems integration on this program, we may need to record additional losses in future periods if performance issues, increases in scope, or increases in cost from prior estimates indicate that further losses are evident. Our estimates may change, in particular, as we conduct further development and testing on the program, which may lead to new findings or cause us to modify our expectations or understandings of the risks inherent in the program. Any such losses could be material to our financial results in any period that they are recognized. We and our industry team will continue to incur advanced procurement costs (also referred to as pre-contract costs) to enhance our ability to achieve the schedule and certain milestones which could be significant. We will monitor the recoverability of pre-contract costs, which could be impacted by our assessment of the customer’s decision regarding the funding of future phases of the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(unaudited)</w:t>
      </w:r>
    </w:p>
    <w:p>
      <w:pPr>
        <w:pStyle w:val="TextBody"/>
        <w:bidi w:val="0"/>
        <w:spacing w:lineRule="auto" w:line="276" w:before="200" w:after="200"/>
        <w:jc w:val="left"/>
        <w:rPr>
          <w:rFonts w:ascii="Arial;sans-serif" w:hAnsi="Arial;sans-serif"/>
          <w:b w:val="false"/>
          <w:color w:val="000000"/>
          <w:sz w:val="20"/>
        </w:rPr>
      </w:pPr>
      <w:r>
        <w:rPr>
          <w:rFonts w:ascii="Arial;sans-serif" w:hAnsi="Arial;sans-serif"/>
          <w:b w:val="false"/>
          <w:color w:val="000000"/>
          <w:sz w:val="20"/>
        </w:rPr>
        <w:t>MFC Classified Program</w:t>
      </w:r>
    </w:p>
    <w:p>
      <w:pPr>
        <w:pStyle w:val="TextBody"/>
        <w:bidi w:val="0"/>
        <w:spacing w:lineRule="auto" w:line="26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Our MFC business segment has been performing under a competitively bid classified contract, which includes a cost-reimbursable base contract for the initial phase of the program and multiple fixed-price options for additional phases. We previously disclosed that the options would each be performed at a loss if exercised. Certain options have been exercised, and based upon performance to date, future requirements of the program, discussions with the customer, and anticipated customer funding, among other factors, we continue to believe it is probable that the remaining unexercised options will also be exercised. As we perform on the cost-reimbursable base contract and the options, we continue to evaluate our estimates of cost necessary to complete the scope on the contract. Our estimates could change based on our performance, supplier negotiations and their performance, macroeconomic impacts, and discoveries made in the execution of these options or on the cost-reimbursable base contract. As of September 27, 2026, cumulative losses recognized on the program remained at approximately $1.5 billion in total, of which, $1.0 billion remained accrued in other current liabilities on our consolidated balance sheets. Any changes to our estimates or assumptions may result in additional losses and such losses could be material to our financial results in any period that they are recognized.</w:t>
      </w:r>
    </w:p>
    <w:p>
      <w:pPr>
        <w:pStyle w:val="TextBody"/>
        <w:bidi w:val="0"/>
        <w:spacing w:lineRule="auto" w:line="276" w:before="200" w:after="200"/>
        <w:jc w:val="both"/>
        <w:rPr>
          <w:rFonts w:ascii="Arial;sans-serif" w:hAnsi="Arial;sans-serif"/>
          <w:b w:val="false"/>
          <w:color w:val="000000"/>
          <w:sz w:val="20"/>
        </w:rPr>
      </w:pPr>
      <w:r>
        <w:rPr>
          <w:rFonts w:ascii="Arial;sans-serif" w:hAnsi="Arial;sans-serif"/>
          <w:b w:val="false"/>
          <w:color w:val="000000"/>
          <w:sz w:val="20"/>
        </w:rPr>
        <w:t>Canadian Maritime Helicopter Program</w:t>
      </w:r>
    </w:p>
    <w:p>
      <w:pPr>
        <w:pStyle w:val="TextBody"/>
        <w:bidi w:val="0"/>
        <w:spacing w:lineRule="auto" w:line="276" w:before="0" w:after="0"/>
        <w:ind w:left="0" w:right="0" w:firstLine="450"/>
        <w:jc w:val="both"/>
        <w:rPr>
          <w:rFonts w:ascii="Arial;sans-serif" w:hAnsi="Arial;sans-serif"/>
          <w:b w:val="false"/>
          <w:color w:val="000000"/>
          <w:sz w:val="20"/>
        </w:rPr>
      </w:pPr>
      <w:r>
        <w:rPr>
          <w:rFonts w:ascii="Arial;sans-serif" w:hAnsi="Arial;sans-serif"/>
          <w:b w:val="false"/>
          <w:color w:val="000000"/>
          <w:sz w:val="20"/>
        </w:rPr>
        <w:t xml:space="preserve">Our RMS business segment has been performing the Canadian Maritime Helicopter Program (CMHP) with the Canadian government. As part of this program, we previously designed, developed, and produced CH-148 aircraft (the Original Equipment contract), which is a military variant of the S-92 helicopter, with the final aircraft delivered to Canada in 2025. We continue to provide logistical support to the fleet under the In Service Support contract over an extended time period, and we have previously disclosed that we have experienced performance issues. Most recently in the second quarter of 2025, we recognized additional losses of $570 million as a result of revisions to our cost and sales estimate. We have been in discussions with the Canadian government to potentially restructure certain contractual terms and conditions that may be beneficial to both parties.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Arial;sans-serif" w:hAnsi="Arial;sans-serif"/>
          <w:b w:val="false"/>
          <w:color w:val="000000"/>
          <w:sz w:val="20"/>
        </w:rPr>
      </w:pPr>
      <w:r>
        <w:rPr>
          <w:rFonts w:ascii="Arial;sans-serif" w:hAnsi="Arial;sans-serif"/>
          <w:b w:val="false"/>
          <w:color w:val="000000"/>
          <w:sz w:val="20"/>
        </w:rPr>
        <w:t>As of September 27, 2026, cumulative losses recognized on the program remained at approximately $670 million, of which $360 million remained accrued in other current liabilities on our consolidated balance sheet. Contract assets were approximately $565 million as of September 27, 2026. Any restructuring discussions may be prolonged or unsuccessful, and could result in a contract termination, and are dependent upon Canadian government resources and priorities and other factors outside of our control, such as trade relations with the United States. These items in addition to future performance issues or changes in our estimates, or dependencies on suppliers may affect our ability to recover our costs, including recovery of the contract assets recognized on our consolidated balance sheets and our assessment of the reach-forward loss, and potential damages, which could be material to our financial results in any period that they are recognized.</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Equity Method Investments</w:t>
      </w:r>
    </w:p>
    <w:p>
      <w:pPr>
        <w:pStyle w:val="TextBody"/>
        <w:bidi w:val="0"/>
        <w:spacing w:lineRule="auto" w:line="26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We hold a 50% membership interest in United Launch Alliance (ULA), with The Boeing Company (Boeing) holding the other 50% interest. We account for this investment under the equity method, with $578 million and $551 million recorded in other noncurrent assets on our consolidated balance sheets at September 27, 2026 and December 31, 2025. During the first quarter of 2026, ULA’s Vulcan Centaur rocket experienced performance challenges that are negatively affecting ULA’s financial condition and results of operations. In the third quarter of 2026, ULA amended and restated its credit agreement, for which we agreed to guarantee certain ULA borrowings under which maximum potential future principal payments amount to $750 million. We and Boeing expect to provide additional financial support to ULA to support its liquidity or ongoing operations and could incur impairment and operating losses if the Vulcan Centaur rocket does not perform consistent with ULA’s assumptions.</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Backlog</w:t>
      </w:r>
    </w:p>
    <w:p>
      <w:pPr>
        <w:pStyle w:val="TextBody"/>
        <w:bidi w:val="0"/>
        <w:spacing w:lineRule="auto" w:line="26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 xml:space="preserve">Backlog (i.e., unfulfilled or remaining performance obligations) represents the sales we expect to recognize for our products and services for which control has not yet transferred to the customer. It is converted into sales in future periods as work is performed or deliveries are made. For our cost-reimbursable and fixed-priced-incentive contracts, the estimated consideration we expect to receive pursuant to the terms of the contract may exceed the contractual award amount. The estimated consideration is determined at the outset of the contract and is continuously reviewed throughout the contract period. In determining the estimated consideration, we consider the risks related to the technical, schedule and cost impacts to complete the contract and an estimate of any variable consideration. Periodically, we review these risks and may increase or decrease backlog accordingly. As the risks on such contracts are successfully retired, the estimated consideration from customers may be reduced, resulting in a reduction of backlog without a corresponding recognition of sales. As of September 27, 2026, our ending backlog was $292.0 billion. The increase in backlog of $61.6 billion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Lockheed Martin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(unaudited)</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quarter ended September 27, 2026, was primarily due to $52.5 billion associated with the multi-year award to produce PAC-3 Missile Segment Enhancement (MSE) interceptors at our MFC business segment. We expect to recognize approximately 23% of our backlog over the next 12 months and a total of approximately 40% over the next 24 months as revenue with the remainder recognized thereafter.</w:t>
      </w:r>
    </w:p>
    <w:p>
      <w:pPr>
        <w:pStyle w:val="TextBody"/>
        <w:bidi w:val="0"/>
        <w:spacing w:before="0" w:after="0"/>
        <w:ind w:left="0" w:right="0" w:firstLine="45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68" w:before="200" w:after="200"/>
        <w:jc w:val="both"/>
        <w:rPr>
          <w:rFonts w:ascii="Arial;sans-serif" w:hAnsi="Arial;sans-serif"/>
          <w:b w:val="false"/>
          <w:color w:val="000000"/>
          <w:sz w:val="20"/>
        </w:rPr>
      </w:pPr>
      <w:r>
        <w:rPr>
          <w:rFonts w:ascii="Arial;sans-serif" w:hAnsi="Arial;sans-serif"/>
          <w:b w:val="false"/>
          <w:color w:val="000000"/>
          <w:sz w:val="20"/>
        </w:rPr>
        <w:t>In September 2025, the Financial Accounting Standards Board (FASB) issued Accounting Standards Update (ASU) No. 2025-06, Intangibles – Goodwill and Other – Internal-Use Software (Subtopic 350-40): Targeted Improvements to the Accounting for Internal-Use Software. This guidance removes all references to project stages throughout FASB Accounting Standards Codification (ASC) Subtopic 350-40, Internal-Use Software and clarifies the threshold entities apply to begin capitalizing costs. Under the new standard, cost capitalization should only commence when an entity has committed to funding a software project and it is probable the project will be completed and the software will be used for its intended function. The amendments are effective for annual and interim reporting periods beginning January 1, 2028. Entities may apply the guidance using a prospective, retrospective or modified transition approach. Early adoption is permitted as of the beginning of an annual reporting period. We will adopt the ASU on its effective date of January 1, 2028.</w:t>
      </w:r>
    </w:p>
    <w:p>
      <w:pPr>
        <w:pStyle w:val="TextBody"/>
        <w:bidi w:val="0"/>
        <w:spacing w:lineRule="auto" w:line="288" w:before="0" w:after="200"/>
        <w:jc w:val="both"/>
        <w:rPr/>
      </w:pPr>
      <w:r>
        <w:rPr>
          <w:rFonts w:ascii="Arial;sans-serif" w:hAnsi="Arial;sans-serif"/>
          <w:b w:val="false"/>
          <w:color w:val="000000"/>
          <w:sz w:val="20"/>
        </w:rPr>
        <w:t xml:space="preserve">In November 2024, the FASB issued ASU No. 2024-03, </w:t>
      </w:r>
      <w:r>
        <w:rPr>
          <w:rFonts w:ascii="Arial;sans-serif" w:hAnsi="Arial;sans-serif"/>
          <w:b w:val="false"/>
          <w:i/>
          <w:color w:val="000000"/>
          <w:sz w:val="20"/>
        </w:rPr>
        <w:t>Income Statement – Reporting Comprehensive Income – Expense Disaggregation Disclosures (Subtopic 220-40): Disaggregation of Income Statement Expenses</w:t>
      </w:r>
      <w:r>
        <w:rPr>
          <w:rFonts w:ascii="Arial;sans-serif" w:hAnsi="Arial;sans-serif"/>
          <w:b w:val="false"/>
          <w:color w:val="000000"/>
          <w:sz w:val="20"/>
        </w:rPr>
        <w:t>. The ASU requires entities to disclose certain expenses, including purchases of inventory, employee compensation, depreciation, and intangible asset amortization, by caption. In addition, entities must provide a qualitative description of the amounts remaining in relevant expense captions that are not separately disaggregated quantitatively. The amendments are effective for annual reporting periods beginning January 1, 2027, and for interim reporting periods beginning after January 1, 2028. The standard will only affect our disclosures and will not impact our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3 - EARNINGS PER COMMON SHARE</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The weighted average number of shares outstanding used to compute earnings per common share were as follows (in millions):</w:t>
      </w:r>
    </w:p>
    <w:tbl>
      <w:tblPr>
        <w:tblW w:w="10205" w:type="dxa"/>
        <w:jc w:val="left"/>
        <w:tblInd w:w="0" w:type="dxa"/>
        <w:tblLayout w:type="fixed"/>
        <w:tblCellMar>
          <w:top w:w="28" w:type="dxa"/>
          <w:left w:w="28" w:type="dxa"/>
          <w:bottom w:w="28" w:type="dxa"/>
          <w:right w:w="28" w:type="dxa"/>
        </w:tblCellMar>
      </w:tblPr>
      <w:tblGrid>
        <w:gridCol w:w="1410"/>
        <w:gridCol w:w="1238"/>
        <w:gridCol w:w="1242"/>
        <w:gridCol w:w="109"/>
        <w:gridCol w:w="109"/>
        <w:gridCol w:w="109"/>
        <w:gridCol w:w="323"/>
        <w:gridCol w:w="323"/>
        <w:gridCol w:w="212"/>
        <w:gridCol w:w="212"/>
        <w:gridCol w:w="212"/>
        <w:gridCol w:w="214"/>
        <w:gridCol w:w="323"/>
        <w:gridCol w:w="323"/>
        <w:gridCol w:w="212"/>
        <w:gridCol w:w="212"/>
        <w:gridCol w:w="212"/>
        <w:gridCol w:w="214"/>
        <w:gridCol w:w="323"/>
        <w:gridCol w:w="323"/>
        <w:gridCol w:w="212"/>
        <w:gridCol w:w="212"/>
        <w:gridCol w:w="212"/>
        <w:gridCol w:w="214"/>
        <w:gridCol w:w="323"/>
        <w:gridCol w:w="323"/>
        <w:gridCol w:w="196"/>
        <w:gridCol w:w="196"/>
        <w:gridCol w:w="196"/>
        <w:gridCol w:w="266"/>
      </w:tblGrid>
      <w:tr>
        <w:trPr/>
        <w:tc>
          <w:tcPr>
            <w:tcW w:w="141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299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149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149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150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20"/>
              </w:rPr>
            </w:pPr>
            <w:r>
              <w:rPr>
                <w:rFonts w:ascii="Arial;sans-serif" w:hAnsi="Arial;sans-serif"/>
                <w:b/>
                <w:color w:val="000000"/>
                <w:sz w:val="20"/>
              </w:rPr>
              <w:t>September 28,</w:t>
              <w:br/>
              <w:t>2025</w:t>
            </w:r>
          </w:p>
        </w:tc>
      </w:tr>
      <w:tr>
        <w:trPr/>
        <w:tc>
          <w:tcPr>
            <w:tcW w:w="38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for basic computations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230.5</w:t>
            </w: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231.9 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230.2</w:t>
            </w: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dilutive effect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common shares outstanding for diluted computations</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231.5</w:t>
            </w:r>
            <w:r>
              <w:rPr>
                <w:color w:val="000000"/>
              </w:rPr>
              <w:t> </w:t>
            </w:r>
          </w:p>
        </w:tc>
        <w:tc>
          <w:tcPr>
            <w:tcW w:w="21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232.8 </w:t>
            </w:r>
          </w:p>
        </w:tc>
        <w:tc>
          <w:tcPr>
            <w:tcW w:w="21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231.2</w:t>
            </w:r>
            <w:r>
              <w:rPr>
                <w:color w:val="000000"/>
              </w:rPr>
              <w:t> </w:t>
            </w:r>
          </w:p>
        </w:tc>
        <w:tc>
          <w:tcPr>
            <w:tcW w:w="21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234.1 </w:t>
            </w:r>
          </w:p>
        </w:tc>
        <w:tc>
          <w:tcPr>
            <w:tcW w:w="1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We compute basic and diluted earnings per common share by dividing net earnings by the respective weighted average number of common shares outstanding for the periods presented. Our calculation of diluted earnings per common share also includes the dilutive effects for the assumed vesting of outstanding restricted stock units (RSUs) and performance stock units (PSUs) based on the treasury stock method. There were no significant anti-dilutive equity awards during the quarters and nine months ended September 27, 2026 and September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80"/>
            <w:sz w:val="20"/>
            <w:u w:val="single"/>
          </w:rPr>
          <w:t>Table</w:t>
        </w:r>
      </w:hyperlink>
      <w:hyperlink w:anchor="id7bb5a769f414c889a01c20e9627a359_7">
        <w:r>
          <w:rPr>
            <w:rStyle w:val="InternetLink"/>
            <w:rFonts w:ascii="Arial;sans-serif" w:hAnsi="Arial;sans-serif"/>
            <w:b w:val="false"/>
            <w:color w:val="000080"/>
            <w:sz w:val="20"/>
            <w:u w:val="single"/>
          </w:rPr>
          <w:t xml:space="preserv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4 - INFORMATION ON BUSINESS SEGMENTS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Our operations are organized into four business segments, which also comprise our reportable segments: Aeronautics, Missiles and Fire Control (MFC), Rotary and Mission Systems (RMS) and Space. We generally organize our business segments based on the nature of products and services offered.</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Summary operating results for each of our business segments were as follows (in millions):</w:t>
      </w:r>
    </w:p>
    <w:tbl>
      <w:tblPr>
        <w:tblW w:w="10205" w:type="dxa"/>
        <w:jc w:val="left"/>
        <w:tblInd w:w="0" w:type="dxa"/>
        <w:tblLayout w:type="fixed"/>
        <w:tblCellMar>
          <w:top w:w="28" w:type="dxa"/>
          <w:left w:w="28" w:type="dxa"/>
          <w:bottom w:w="28" w:type="dxa"/>
          <w:right w:w="28" w:type="dxa"/>
        </w:tblCellMar>
      </w:tblPr>
      <w:tblGrid>
        <w:gridCol w:w="1246"/>
        <w:gridCol w:w="1089"/>
        <w:gridCol w:w="1098"/>
        <w:gridCol w:w="109"/>
        <w:gridCol w:w="109"/>
        <w:gridCol w:w="109"/>
        <w:gridCol w:w="216"/>
        <w:gridCol w:w="772"/>
        <w:gridCol w:w="111"/>
        <w:gridCol w:w="111"/>
        <w:gridCol w:w="111"/>
        <w:gridCol w:w="111"/>
        <w:gridCol w:w="109"/>
        <w:gridCol w:w="109"/>
        <w:gridCol w:w="109"/>
        <w:gridCol w:w="216"/>
        <w:gridCol w:w="772"/>
        <w:gridCol w:w="111"/>
        <w:gridCol w:w="111"/>
        <w:gridCol w:w="111"/>
        <w:gridCol w:w="111"/>
        <w:gridCol w:w="216"/>
        <w:gridCol w:w="772"/>
        <w:gridCol w:w="111"/>
        <w:gridCol w:w="111"/>
        <w:gridCol w:w="111"/>
        <w:gridCol w:w="111"/>
        <w:gridCol w:w="109"/>
        <w:gridCol w:w="109"/>
        <w:gridCol w:w="109"/>
        <w:gridCol w:w="216"/>
        <w:gridCol w:w="771"/>
        <w:gridCol w:w="111"/>
        <w:gridCol w:w="111"/>
        <w:gridCol w:w="111"/>
        <w:gridCol w:w="175"/>
      </w:tblGrid>
      <w:tr>
        <w:trPr/>
        <w:tc>
          <w:tcPr>
            <w:tcW w:w="12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Quarters Ended</w:t>
            </w:r>
          </w:p>
        </w:tc>
        <w:tc>
          <w:tcPr>
            <w:tcW w:w="325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Nine Months Ended</w:t>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September 28,</w:t>
              <w:br/>
              <w:t>2025</w:t>
            </w:r>
          </w:p>
        </w:tc>
        <w:tc>
          <w:tcPr>
            <w:tcW w:w="14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September 28,</w:t>
              <w:br/>
              <w:t>2025</w:t>
            </w:r>
          </w:p>
        </w:tc>
      </w:tr>
      <w:tr>
        <w:trPr/>
        <w:tc>
          <w:tcPr>
            <w:tcW w:w="34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8,214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23,279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4,501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12,251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4,511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12,856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3,485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10,409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20,711</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18,609 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58,795</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54,727 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Operating costs and expenses </w:t>
            </w:r>
            <w:r>
              <w:rPr>
                <w:rFonts w:ascii="Arial;sans-serif" w:hAnsi="Arial;sans-serif"/>
                <w:b w:val="false"/>
                <w:color w:val="000000"/>
                <w:sz w:val="12"/>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7,471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21,157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3,870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10,526</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3,987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11,472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3,154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9,426</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operating 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18,482</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16,580 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52,581</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50,042 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Operating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743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2,122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631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1,725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Rotary and Mission Systems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1,384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983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business segment operating 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2,229</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6,214</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4,685 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Unallocated items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FAS/CAS pension operating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421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1,264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Impairment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(149)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(344)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unallocated items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214</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771</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consolidated operating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2,443</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2,280 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6,985</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5,400 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Intersegment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Aeronautics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Missiles and Fire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781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Rotary and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1,934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Space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intersegment sales</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1,168</w:t>
            </w:r>
            <w:r>
              <w:rPr>
                <w:color w:val="000000"/>
              </w:rPr>
              <w:t>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960 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7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3,280</w:t>
            </w:r>
            <w:r>
              <w:rPr>
                <w:color w:val="000000"/>
              </w:rPr>
              <w:t>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2,909 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450"/>
        <w:jc w:val="left"/>
        <w:rPr/>
      </w:pPr>
      <w:r>
        <w:rPr>
          <w:rFonts w:ascii="Arial;sans-serif" w:hAnsi="Arial;sans-serif"/>
          <w:b w:val="false"/>
          <w:color w:val="000000"/>
          <w:sz w:val="10"/>
        </w:rPr>
        <w:t>(a)</w:t>
      </w:r>
      <w:r>
        <w:rPr>
          <w:rFonts w:ascii="Arial;sans-serif" w:hAnsi="Arial;sans-serif"/>
          <w:b w:val="false"/>
          <w:color w:val="000000"/>
          <w:sz w:val="16"/>
        </w:rPr>
        <w:t>Operating costs and expenses include certain immaterial items, such as other income (primarily equity earnings).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Segment results exclude intersegment transactions as these activities are eliminated in consolidation and are not considered in assessing the performance of each segment. As described below, segment operating profit also excludes other transactions that are not part of management’s evaluation of segment operating performance, which are included in “Unallocated items” to reconcile total segment operating profit to consolidated amounts. Business segment operating profit includes our share of earnings or losses from equity method investees as the operating activities of the equity method investees are closely aligned with the operations of our business segments. See “Note 2 - Significant Accounting Policies” for a discussion related to certain factors that may impact the comparability of sales and operating profit of our business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80"/>
            <w:sz w:val="20"/>
            <w:u w:val="single"/>
          </w:rPr>
          <w:t>Table</w:t>
        </w:r>
      </w:hyperlink>
      <w:hyperlink w:anchor="id7bb5a769f414c889a01c20e9627a359_7">
        <w:r>
          <w:rPr>
            <w:rStyle w:val="InternetLink"/>
            <w:rFonts w:ascii="Arial;sans-serif" w:hAnsi="Arial;sans-serif"/>
            <w:b w:val="false"/>
            <w:color w:val="000080"/>
            <w:sz w:val="20"/>
            <w:u w:val="single"/>
          </w:rPr>
          <w:t xml:space="preserve"> of Contents</w:t>
        </w:r>
      </w:hyperlink>
    </w:p>
    <w:p>
      <w:pPr>
        <w:pStyle w:val="TextBody"/>
        <w:bidi w:val="0"/>
        <w:spacing w:lineRule="auto" w:line="288" w:before="140" w:after="200"/>
        <w:jc w:val="left"/>
        <w:rPr>
          <w:rFonts w:ascii="Arial;sans-serif" w:hAnsi="Arial;sans-serif"/>
          <w:b/>
          <w:i/>
          <w:color w:val="000000"/>
          <w:sz w:val="20"/>
        </w:rPr>
      </w:pPr>
      <w:r>
        <w:rPr>
          <w:rFonts w:ascii="Arial;sans-serif" w:hAnsi="Arial;sans-serif"/>
          <w:b/>
          <w:i/>
          <w:color w:val="000000"/>
          <w:sz w:val="20"/>
        </w:rPr>
        <w:t>Unallocated Items</w:t>
      </w:r>
    </w:p>
    <w:p>
      <w:pPr>
        <w:pStyle w:val="TextBody"/>
        <w:bidi w:val="0"/>
        <w:spacing w:lineRule="auto" w:line="288" w:before="200" w:after="60"/>
        <w:jc w:val="both"/>
        <w:rPr>
          <w:rFonts w:ascii="Arial;sans-serif" w:hAnsi="Arial;sans-serif"/>
          <w:b w:val="false"/>
          <w:color w:val="000000"/>
          <w:sz w:val="20"/>
        </w:rPr>
      </w:pPr>
      <w:r>
        <w:rPr>
          <w:rFonts w:ascii="Arial;sans-serif" w:hAnsi="Arial;sans-serif"/>
          <w:b w:val="false"/>
          <w:color w:val="000000"/>
          <w:sz w:val="20"/>
        </w:rPr>
        <w:t xml:space="preserve">Business segment operating profit excludes the FAS/CAS pension operating adjustment discussed below,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such as stock-based compensation expense, changes in the fair value of assets and liabilities for deferred compensation plans, significant severance charges, significant asset impairments, intangible asset amortization expense, and other miscellaneous corporate activities. Collectively these items are included in “Unallocated items” to reconcile total segment operating profit to consolidated operating profit. </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FAS/CAS Pension Operating Adjustment</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 xml:space="preserve">Our business segments’ results of operations include pension expense only as calculated under CAS, which we refer to as CAS pension cost. We recover CAS pension cost through the pricing of our products and services on U.S. Government contracts and, therefore, recognize CAS pension cost in each of our business segments’ sales and operating costs and expenses. Our consolidated financial statements must present pension expense calculated in accordance with Financial Accounting Standards (FAS) requirements under U.S. GAAP. The operating portion of the total FAS/CAS pension adjustment represents the difference between the service cost component of FAS pension expense and total CAS pension cost. The non-service FAS pension expense components are included in non-service FAS pension expense in our consolidated statements of earnings. As a result, to the extent that CAS pension cost exceeds the service cost component of FAS pension expense, we have a favorable FAS/CAS pension operating adjustment. </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The total FAS/CAS pension adjustments, including the service and non-service cost components of FAS pension expense for our qualified defined benefit pension plans, were as follows (in millions):</w:t>
      </w:r>
    </w:p>
    <w:tbl>
      <w:tblPr>
        <w:tblW w:w="10205" w:type="dxa"/>
        <w:jc w:val="left"/>
        <w:tblInd w:w="0" w:type="dxa"/>
        <w:tblLayout w:type="fixed"/>
        <w:tblCellMar>
          <w:top w:w="28" w:type="dxa"/>
          <w:left w:w="28" w:type="dxa"/>
          <w:bottom w:w="28" w:type="dxa"/>
          <w:right w:w="28" w:type="dxa"/>
        </w:tblCellMar>
      </w:tblPr>
      <w:tblGrid>
        <w:gridCol w:w="1317"/>
        <w:gridCol w:w="1035"/>
        <w:gridCol w:w="1038"/>
        <w:gridCol w:w="109"/>
        <w:gridCol w:w="109"/>
        <w:gridCol w:w="109"/>
        <w:gridCol w:w="253"/>
        <w:gridCol w:w="577"/>
        <w:gridCol w:w="130"/>
        <w:gridCol w:w="130"/>
        <w:gridCol w:w="130"/>
        <w:gridCol w:w="130"/>
        <w:gridCol w:w="109"/>
        <w:gridCol w:w="109"/>
        <w:gridCol w:w="109"/>
        <w:gridCol w:w="242"/>
        <w:gridCol w:w="608"/>
        <w:gridCol w:w="125"/>
        <w:gridCol w:w="125"/>
        <w:gridCol w:w="125"/>
        <w:gridCol w:w="125"/>
        <w:gridCol w:w="109"/>
        <w:gridCol w:w="109"/>
        <w:gridCol w:w="109"/>
        <w:gridCol w:w="228"/>
        <w:gridCol w:w="699"/>
        <w:gridCol w:w="117"/>
        <w:gridCol w:w="117"/>
        <w:gridCol w:w="117"/>
        <w:gridCol w:w="117"/>
        <w:gridCol w:w="109"/>
        <w:gridCol w:w="109"/>
        <w:gridCol w:w="109"/>
        <w:gridCol w:w="242"/>
        <w:gridCol w:w="605"/>
        <w:gridCol w:w="124"/>
        <w:gridCol w:w="124"/>
        <w:gridCol w:w="124"/>
        <w:gridCol w:w="193"/>
      </w:tblGrid>
      <w:tr>
        <w:trPr/>
        <w:tc>
          <w:tcPr>
            <w:tcW w:w="131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33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Total FAS pension expense and CAS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FAS pension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CAS pension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FAS/CAS pension 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1,023</w:t>
            </w: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Service and non-service cost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FAS pension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CAS pension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433</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1,300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FAS/CAS pension operating adjustment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421</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1,264</w:t>
            </w: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Non-service FAS pension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FAS/CAS pension adjustment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340</w:t>
            </w:r>
            <w:r>
              <w:rPr>
                <w:color w:val="000000"/>
              </w:rPr>
              <w:t> </w:t>
            </w:r>
          </w:p>
        </w:tc>
        <w:tc>
          <w:tcPr>
            <w:tcW w:w="1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0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281 </w:t>
            </w:r>
          </w:p>
        </w:tc>
        <w:tc>
          <w:tcPr>
            <w:tcW w:w="1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9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1,023</w:t>
            </w:r>
            <w:r>
              <w:rPr>
                <w:color w:val="000000"/>
              </w:rPr>
              <w:t> </w:t>
            </w:r>
          </w:p>
        </w:tc>
        <w:tc>
          <w:tcPr>
            <w:tcW w:w="11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0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842 </w:t>
            </w:r>
          </w:p>
        </w:tc>
        <w:tc>
          <w:tcPr>
            <w:tcW w:w="12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80"/>
            <w:sz w:val="20"/>
            <w:u w:val="single"/>
          </w:rPr>
          <w:t>Table</w:t>
        </w:r>
      </w:hyperlink>
      <w:hyperlink w:anchor="id7bb5a769f414c889a01c20e9627a359_7">
        <w:r>
          <w:rPr>
            <w:rStyle w:val="InternetLink"/>
            <w:rFonts w:ascii="Arial;sans-serif" w:hAnsi="Arial;sans-serif"/>
            <w:b w:val="false"/>
            <w:color w:val="000080"/>
            <w:sz w:val="20"/>
            <w:u w:val="single"/>
          </w:rPr>
          <w:t xml:space="preserve"> of Contents</w:t>
        </w:r>
      </w:hyperlink>
    </w:p>
    <w:p>
      <w:pPr>
        <w:pStyle w:val="TextBody"/>
        <w:bidi w:val="0"/>
        <w:spacing w:lineRule="auto" w:line="288" w:before="40" w:after="40"/>
        <w:jc w:val="left"/>
        <w:rPr>
          <w:rFonts w:ascii="Arial;sans-serif" w:hAnsi="Arial;sans-serif"/>
          <w:b/>
          <w:i/>
          <w:color w:val="000000"/>
          <w:sz w:val="20"/>
        </w:rPr>
      </w:pPr>
      <w:r>
        <w:rPr>
          <w:rFonts w:ascii="Arial;sans-serif" w:hAnsi="Arial;sans-serif"/>
          <w:b/>
          <w:i/>
          <w:color w:val="000000"/>
          <w:sz w:val="20"/>
        </w:rPr>
        <w:t>Disaggregation of Sales</w:t>
      </w:r>
    </w:p>
    <w:p>
      <w:pPr>
        <w:pStyle w:val="TextBody"/>
        <w:bidi w:val="0"/>
        <w:spacing w:lineRule="auto" w:line="288" w:before="80" w:after="283"/>
        <w:ind w:left="0" w:right="0" w:firstLine="495"/>
        <w:jc w:val="left"/>
        <w:rPr>
          <w:rFonts w:ascii="Arial;sans-serif" w:hAnsi="Arial;sans-serif"/>
          <w:b w:val="false"/>
          <w:color w:val="000000"/>
          <w:sz w:val="20"/>
        </w:rPr>
      </w:pPr>
      <w:r>
        <w:rPr>
          <w:rFonts w:ascii="Arial;sans-serif" w:hAnsi="Arial;sans-serif"/>
          <w:b w:val="false"/>
          <w:color w:val="000000"/>
          <w:sz w:val="20"/>
        </w:rPr>
        <w:t>Sales by products and services, contract type, customer, and geographic region were as follows (in millions):</w:t>
      </w:r>
    </w:p>
    <w:tbl>
      <w:tblPr>
        <w:tblW w:w="9549" w:type="dxa"/>
        <w:jc w:val="left"/>
        <w:tblInd w:w="0" w:type="dxa"/>
        <w:tblLayout w:type="fixed"/>
        <w:tblCellMar>
          <w:top w:w="28" w:type="dxa"/>
          <w:left w:w="28" w:type="dxa"/>
          <w:bottom w:w="28" w:type="dxa"/>
          <w:right w:w="28" w:type="dxa"/>
        </w:tblCellMar>
      </w:tblPr>
      <w:tblGrid>
        <w:gridCol w:w="968"/>
        <w:gridCol w:w="855"/>
        <w:gridCol w:w="861"/>
        <w:gridCol w:w="109"/>
        <w:gridCol w:w="109"/>
        <w:gridCol w:w="109"/>
        <w:gridCol w:w="265"/>
        <w:gridCol w:w="813"/>
        <w:gridCol w:w="138"/>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Quarter Ended September 27, 2026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Aeronautics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MFC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Space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6,652</w:t>
            </w: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17,429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1,562</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3,282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8,214</w:t>
            </w:r>
            <w:r>
              <w:rPr>
                <w:color w:val="000000"/>
              </w:rPr>
              <w:t>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20,711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contract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5,541</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12,516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Cost-reimbursable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2,673</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8,195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8,214</w:t>
            </w:r>
            <w:r>
              <w:rPr>
                <w:color w:val="000000"/>
              </w:rPr>
              <w:t>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20,711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Sales by customer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4,744</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14,291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International </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3,461</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6,361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commercial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8,214</w:t>
            </w: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20,711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geographic region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4,753</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14,350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1,733</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2,780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1,217</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2,216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175</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336</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8,214</w:t>
            </w:r>
            <w:r>
              <w:rPr>
                <w:color w:val="000000"/>
              </w:rPr>
              <w:t>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20,711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64" w:type="dxa"/>
        <w:jc w:val="left"/>
        <w:tblInd w:w="0" w:type="dxa"/>
        <w:tblLayout w:type="fixed"/>
        <w:tblCellMar>
          <w:top w:w="28" w:type="dxa"/>
          <w:left w:w="28" w:type="dxa"/>
          <w:bottom w:w="28" w:type="dxa"/>
          <w:right w:w="28" w:type="dxa"/>
        </w:tblCellMar>
      </w:tblPr>
      <w:tblGrid>
        <w:gridCol w:w="968"/>
        <w:gridCol w:w="855"/>
        <w:gridCol w:w="861"/>
        <w:gridCol w:w="109"/>
        <w:gridCol w:w="109"/>
        <w:gridCol w:w="109"/>
        <w:gridCol w:w="239"/>
        <w:gridCol w:w="852"/>
        <w:gridCol w:w="125"/>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Nine Months Ended September 27, 2026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Aeronautics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MFC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Space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18,765</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11,143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10,381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8,754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49,043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4,514</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9,752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23,279</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12,251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12,856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58,795</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contract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15,566</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9,015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34,997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Cost-reimbursable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7,713</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5,091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23,798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23,279</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12,251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12,856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58,795</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Sales by customer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13,622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8,850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40,728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International </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9,632</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4,600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17,878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commercial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23,279</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12,251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12,856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58,795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geographic region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13,647</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8,853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8,256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40,917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4,899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8,207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3,267</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5,868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526</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1,878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940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1,925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23,279</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12,251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12,856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58,795</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80"/>
            <w:sz w:val="20"/>
            <w:u w:val="single"/>
          </w:rPr>
          <w:t>Table</w:t>
        </w:r>
      </w:hyperlink>
      <w:hyperlink w:anchor="id7bb5a769f414c889a01c20e9627a359_7">
        <w:r>
          <w:rPr>
            <w:rStyle w:val="InternetLink"/>
            <w:rFonts w:ascii="Arial;sans-serif" w:hAnsi="Arial;sans-serif"/>
            <w:b w:val="false"/>
            <w:color w:val="000080"/>
            <w:sz w:val="20"/>
            <w:u w:val="single"/>
          </w:rPr>
          <w:t xml:space="preserve"> of Contents</w:t>
        </w:r>
      </w:hyperlink>
    </w:p>
    <w:tbl>
      <w:tblPr>
        <w:tblW w:w="9549" w:type="dxa"/>
        <w:jc w:val="left"/>
        <w:tblInd w:w="0" w:type="dxa"/>
        <w:tblLayout w:type="fixed"/>
        <w:tblCellMar>
          <w:top w:w="28" w:type="dxa"/>
          <w:left w:w="28" w:type="dxa"/>
          <w:bottom w:w="28" w:type="dxa"/>
          <w:right w:w="28" w:type="dxa"/>
        </w:tblCellMar>
      </w:tblPr>
      <w:tblGrid>
        <w:gridCol w:w="968"/>
        <w:gridCol w:w="855"/>
        <w:gridCol w:w="861"/>
        <w:gridCol w:w="109"/>
        <w:gridCol w:w="109"/>
        <w:gridCol w:w="109"/>
        <w:gridCol w:w="265"/>
        <w:gridCol w:w="813"/>
        <w:gridCol w:w="138"/>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Quarter Ended September 28,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Aeronautics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MFC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Space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5,807 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7,256 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contract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Cost-reimbursable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7,256 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Sales by customer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International </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commercial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7,256 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geographic region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7,256 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59" w:type="dxa"/>
        <w:jc w:val="left"/>
        <w:tblInd w:w="0" w:type="dxa"/>
        <w:tblLayout w:type="fixed"/>
        <w:tblCellMar>
          <w:top w:w="28" w:type="dxa"/>
          <w:left w:w="28" w:type="dxa"/>
          <w:bottom w:w="28" w:type="dxa"/>
          <w:right w:w="28" w:type="dxa"/>
        </w:tblCellMar>
      </w:tblPr>
      <w:tblGrid>
        <w:gridCol w:w="968"/>
        <w:gridCol w:w="855"/>
        <w:gridCol w:w="861"/>
        <w:gridCol w:w="109"/>
        <w:gridCol w:w="109"/>
        <w:gridCol w:w="109"/>
        <w:gridCol w:w="239"/>
        <w:gridCol w:w="852"/>
        <w:gridCol w:w="125"/>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1"/>
        <w:gridCol w:w="75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Nine Months Ended September 28,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Aeronautics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MFC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Space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17,513 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45,396 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21,733 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54,727 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contract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Cost-reimbursable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21,733 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54,727 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Sales by customer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International </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commercial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21,733 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54,727 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 by geographic region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21,733 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54,727 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pPr>
      <w:r>
        <w:rPr>
          <w:rFonts w:ascii="Arial;sans-serif" w:hAnsi="Arial;sans-serif"/>
          <w:b w:val="false"/>
          <w:color w:val="000000"/>
          <w:sz w:val="12"/>
        </w:rPr>
        <w:t>(a)</w:t>
      </w:r>
      <w:r>
        <w:rPr>
          <w:rFonts w:ascii="Arial;sans-serif" w:hAnsi="Arial;sans-serif"/>
          <w:b w:val="false"/>
          <w:color w:val="000000"/>
          <w:sz w:val="18"/>
        </w:rPr>
        <w:t>International sales include foreign military sales (FMS) contracted through the U.S. Government and direct commercial sales to international governments and other international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80"/>
            <w:sz w:val="20"/>
            <w:u w:val="single"/>
          </w:rPr>
          <w:t>Table</w:t>
        </w:r>
      </w:hyperlink>
      <w:hyperlink w:anchor="id7bb5a769f414c889a01c20e9627a359_7">
        <w:r>
          <w:rPr>
            <w:rStyle w:val="InternetLink"/>
            <w:rFonts w:ascii="Arial;sans-serif" w:hAnsi="Arial;sans-serif"/>
            <w:b w:val="false"/>
            <w:color w:val="000080"/>
            <w:sz w:val="20"/>
            <w:u w:val="single"/>
          </w:rPr>
          <w:t xml:space="preserve"> of Contents</w:t>
        </w:r>
      </w:hyperlink>
    </w:p>
    <w:p>
      <w:pPr>
        <w:pStyle w:val="TextBody"/>
        <w:bidi w:val="0"/>
        <w:spacing w:lineRule="auto" w:line="288"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Our Aeronautics business segment includes our largest program, the F-35 Lightning II, an international multi-role, multi-variant, stealth fighter aircraft. Sales for the F-35 program represented approximately 27% of our total consolidated sales for both the quarter and nine months ended September 27, 2026 and 26% of our total consolidated sales for both the quarter and nine months ended September 28, 2025.</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Assets</w:t>
      </w:r>
    </w:p>
    <w:p>
      <w:pPr>
        <w:pStyle w:val="TextBody"/>
        <w:bidi w:val="0"/>
        <w:spacing w:lineRule="auto" w:line="288"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Total assets for each of our business segments were as follows (in millions):</w:t>
      </w:r>
    </w:p>
    <w:tbl>
      <w:tblPr>
        <w:tblW w:w="6386" w:type="dxa"/>
        <w:jc w:val="left"/>
        <w:tblInd w:w="0" w:type="dxa"/>
        <w:tblLayout w:type="fixed"/>
        <w:tblCellMar>
          <w:top w:w="28" w:type="dxa"/>
          <w:left w:w="28" w:type="dxa"/>
          <w:bottom w:w="28" w:type="dxa"/>
          <w:right w:w="28" w:type="dxa"/>
        </w:tblCellMar>
      </w:tblPr>
      <w:tblGrid>
        <w:gridCol w:w="1028"/>
        <w:gridCol w:w="905"/>
        <w:gridCol w:w="917"/>
        <w:gridCol w:w="109"/>
        <w:gridCol w:w="109"/>
        <w:gridCol w:w="109"/>
        <w:gridCol w:w="217"/>
        <w:gridCol w:w="774"/>
        <w:gridCol w:w="112"/>
        <w:gridCol w:w="112"/>
        <w:gridCol w:w="112"/>
        <w:gridCol w:w="112"/>
        <w:gridCol w:w="109"/>
        <w:gridCol w:w="109"/>
        <w:gridCol w:w="109"/>
        <w:gridCol w:w="211"/>
        <w:gridCol w:w="751"/>
        <w:gridCol w:w="109"/>
        <w:gridCol w:w="109"/>
        <w:gridCol w:w="109"/>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16,098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MFC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8,029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16,497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7,986</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business segment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48,610</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assets </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15,900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64,510</w:t>
            </w:r>
            <w:r>
              <w:rPr>
                <w:color w:val="000000"/>
              </w:rPr>
              <w:t> </w:t>
            </w:r>
          </w:p>
        </w:tc>
        <w:tc>
          <w:tcPr>
            <w:tcW w:w="11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59,840 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50"/>
        <w:jc w:val="both"/>
        <w:rPr/>
      </w:pPr>
      <w:r>
        <w:rPr>
          <w:rFonts w:ascii="Arial;sans-serif" w:hAnsi="Arial;sans-serif"/>
          <w:b w:val="false"/>
          <w:color w:val="000000"/>
          <w:sz w:val="12"/>
        </w:rPr>
        <w:t>(a)</w:t>
      </w:r>
      <w:r>
        <w:rPr>
          <w:rFonts w:ascii="Arial;sans-serif" w:hAnsi="Arial;sans-serif"/>
          <w:b w:val="false"/>
          <w:color w:val="000000"/>
          <w:sz w:val="18"/>
        </w:rPr>
        <w:t>Corporate assets primarily include cash and cash equivalents, deferred income taxes, assets held in a trust for deferred compensation plans, capitalized software, assets for the portion of environmental costs that are probable of future recovery, property, plant and equipment used in our corporate operations, and other marketable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NOTE 5 - CONTRACT ASSETS AND LIABILITIES </w:t>
      </w:r>
    </w:p>
    <w:p>
      <w:pPr>
        <w:pStyle w:val="TextBody"/>
        <w:bidi w:val="0"/>
        <w:spacing w:lineRule="auto" w:line="288" w:before="200" w:after="283"/>
        <w:ind w:left="0" w:right="0" w:firstLine="450"/>
        <w:jc w:val="left"/>
        <w:rPr>
          <w:rFonts w:ascii="Arial;sans-serif" w:hAnsi="Arial;sans-serif"/>
          <w:b w:val="false"/>
          <w:color w:val="000000"/>
          <w:sz w:val="20"/>
        </w:rPr>
      </w:pPr>
      <w:r>
        <w:rPr>
          <w:rFonts w:ascii="Arial;sans-serif" w:hAnsi="Arial;sans-serif"/>
          <w:b w:val="false"/>
          <w:color w:val="000000"/>
          <w:sz w:val="20"/>
        </w:rPr>
        <w:t>Contract assets and contract liabilities were as follows (in millions):</w:t>
      </w:r>
    </w:p>
    <w:tbl>
      <w:tblPr>
        <w:tblW w:w="5200"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217"/>
        <w:gridCol w:w="774"/>
        <w:gridCol w:w="112"/>
        <w:gridCol w:w="112"/>
        <w:gridCol w:w="112"/>
        <w:gridCol w:w="112"/>
        <w:gridCol w:w="109"/>
        <w:gridCol w:w="109"/>
        <w:gridCol w:w="109"/>
        <w:gridCol w:w="211"/>
        <w:gridCol w:w="751"/>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16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Contract assets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16,899</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12,644</w:t>
            </w:r>
            <w:r>
              <w:rPr>
                <w:color w:val="000000"/>
              </w:rPr>
              <w:t> </w:t>
            </w:r>
          </w:p>
        </w:tc>
        <w:tc>
          <w:tcPr>
            <w:tcW w:w="11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11,440 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Contract assets include unbilled amounts typically resulting from sales under contracts when the percentage-of-completion cost-to-cost method of revenue recognition is utilized and revenue recognized exceeds the amount billed to the customer. These assets are primarily driven by the recognition of revenue related to the satisfaction or partial satisfaction of performance obligations for which we have not yet billed our customers. During the nine months ended September 27, 2026, contract assets increased $3.9 billion primarily due to the F-35 program at Aeronautics and tactical and strike missiles at MFC. There were no significant credit or impairment losses related to our contract assets during the quarters and nine months ended September 27, 2026 and September 28, 2025.</w:t>
      </w:r>
    </w:p>
    <w:p>
      <w:pPr>
        <w:pStyle w:val="TextBody"/>
        <w:bidi w:val="0"/>
        <w:spacing w:lineRule="auto" w:line="288"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 xml:space="preserve">Contract liabilities include advance payments and billings in excess of revenue recognized. These liabilities increased $1.2 billion during the nine months ended September 27, 2026, primarily due to payment received in excess of revenue recognized on performance obligations (primarily for the F-16 program at Aeronautics and Sikorsky programs at RMS). During the quarter and nine months ended September 27, 2026, we recognized $1.0 billion and $5.8 billion of our contract liabilities at December 31, 2025 as revenue.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80"/>
            <w:sz w:val="20"/>
            <w:u w:val="single"/>
          </w:rPr>
          <w:t>Table</w:t>
        </w:r>
      </w:hyperlink>
      <w:hyperlink w:anchor="id7bb5a769f414c889a01c20e9627a359_7">
        <w:r>
          <w:rPr>
            <w:rStyle w:val="InternetLink"/>
            <w:rFonts w:ascii="Arial;sans-serif" w:hAnsi="Arial;sans-serif"/>
            <w:b w:val="false"/>
            <w:color w:val="000080"/>
            <w:sz w:val="20"/>
            <w:u w:val="single"/>
          </w:rPr>
          <w:t xml:space="preserv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6 - INVENTORIES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Inventories consisted of the following (in millions):</w:t>
      </w:r>
    </w:p>
    <w:tbl>
      <w:tblPr>
        <w:tblW w:w="6333" w:type="dxa"/>
        <w:jc w:val="left"/>
        <w:tblInd w:w="0" w:type="dxa"/>
        <w:tblLayout w:type="fixed"/>
        <w:tblCellMar>
          <w:top w:w="28" w:type="dxa"/>
          <w:left w:w="28" w:type="dxa"/>
          <w:bottom w:w="28" w:type="dxa"/>
          <w:right w:w="28" w:type="dxa"/>
        </w:tblCellMar>
      </w:tblPr>
      <w:tblGrid>
        <w:gridCol w:w="1025"/>
        <w:gridCol w:w="903"/>
        <w:gridCol w:w="906"/>
        <w:gridCol w:w="109"/>
        <w:gridCol w:w="109"/>
        <w:gridCol w:w="109"/>
        <w:gridCol w:w="235"/>
        <w:gridCol w:w="719"/>
        <w:gridCol w:w="121"/>
        <w:gridCol w:w="121"/>
        <w:gridCol w:w="121"/>
        <w:gridCol w:w="121"/>
        <w:gridCol w:w="109"/>
        <w:gridCol w:w="109"/>
        <w:gridCol w:w="109"/>
        <w:gridCol w:w="222"/>
        <w:gridCol w:w="681"/>
        <w:gridCol w:w="114"/>
        <w:gridCol w:w="114"/>
        <w:gridCol w:w="114"/>
        <w:gridCol w:w="162"/>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Materials, spares and supplies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672</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3,106</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3,987</w:t>
            </w:r>
            <w:r>
              <w:rPr>
                <w:color w:val="000000"/>
              </w:rPr>
              <w:t> </w:t>
            </w:r>
          </w:p>
        </w:tc>
        <w:tc>
          <w:tcPr>
            <w:tcW w:w="1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3,524 </w:t>
            </w:r>
          </w:p>
        </w:tc>
        <w:tc>
          <w:tcPr>
            <w:tcW w:w="11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Costs incurred to fulfill a contract in advance of the contract being awarded are included in inventories as work-in-process if we determine that those costs relate directly to a contract or to an anticipated contract that we can specifically identify and determine that the contract award is probable, the costs generate or enhance resources that will be used in satisfying performance obligations, and the costs are recoverable (referred to as pre-contract costs). These advance procurement costs are generally incurred in order to enhance our ability to achieve schedule and certain customer milestones. Pre-contract costs that are initially capitalized in inventory generally are eventually recognized as operating costs consistent with the transfer of products and services to the customer upon the receipt of the anticipated contract. All other pre-contract costs, including start-up costs, are expensed as incurred. As of September 27, 2026 and December 31, 2025, $1.9 billion and $1.5 billion of pre-contract costs (primarily the classified contracts, F-35 program and F-16 program at Aeronautics and Sikorsky programs at RMS) were included in work-in-process inventories.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7 - INCOME TAXES</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76" w:before="0" w:after="200"/>
        <w:ind w:left="0" w:right="0" w:firstLine="450"/>
        <w:jc w:val="both"/>
        <w:rPr>
          <w:rFonts w:ascii="Arial;sans-serif" w:hAnsi="Arial;sans-serif"/>
          <w:b w:val="false"/>
          <w:color w:val="000000"/>
          <w:sz w:val="20"/>
        </w:rPr>
      </w:pPr>
      <w:r>
        <w:rPr>
          <w:rFonts w:ascii="Arial;sans-serif" w:hAnsi="Arial;sans-serif"/>
          <w:b w:val="false"/>
          <w:color w:val="000000"/>
          <w:sz w:val="20"/>
        </w:rPr>
        <w:t>Our effective income tax rates were 15.1% and 15.6% for the quarter and nine months ended September 27, 2026 and 16.5% and 16.4% for the quarter and nine months ended September 28, 2025. The decreases were primarily attributable to increased tax deductions for foreign derived deduction eligible income (FDDEI), partially offset by the absence of the favorable resolution of certain federal income tax audit items as compared to the prior year. In addition, the rates for all periods benefited from research and development tax credits, dividends paid to our defined contribution plans with an employee stock ownership plan feature and employee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8 - DEBT</w:t>
      </w:r>
    </w:p>
    <w:p>
      <w:pPr>
        <w:pStyle w:val="TextBody"/>
        <w:bidi w:val="0"/>
        <w:spacing w:lineRule="auto" w:line="276" w:before="200" w:after="200"/>
        <w:jc w:val="both"/>
        <w:rPr>
          <w:rFonts w:ascii="Arial;sans-serif" w:hAnsi="Arial;sans-serif"/>
          <w:b/>
          <w:color w:val="000000"/>
          <w:sz w:val="20"/>
        </w:rPr>
      </w:pPr>
      <w:r>
        <w:rPr>
          <w:rFonts w:ascii="Arial;sans-serif" w:hAnsi="Arial;sans-serif"/>
          <w:b/>
          <w:color w:val="000000"/>
          <w:sz w:val="20"/>
        </w:rPr>
        <w:t>Revolving Credit Facilities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On August 24, 2026, we entered into a new $2.25 billion unsecured 364-Day revolving credit facility, replacing our previous $3.0 billion facility that was scheduled to mature on December 4, 2026. The new facility matures on August 23, 2027, with the option to convert any borrowings at maturity into term loans payable on August 23, 2028. We also extended the maturity of our existing $3.0 billion unsecured 5-year revolving credit facility from August 24, 2030 to August 24, 2031. Both facilities are available for general corporate purpose, including supporting commercial paper borrowings. There were no borrowings under either facility at September 27,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80"/>
            <w:sz w:val="20"/>
            <w:u w:val="single"/>
          </w:rPr>
          <w:t>Table</w:t>
        </w:r>
      </w:hyperlink>
      <w:hyperlink w:anchor="id7bb5a769f414c889a01c20e9627a359_7">
        <w:r>
          <w:rPr>
            <w:rStyle w:val="InternetLink"/>
            <w:rFonts w:ascii="Arial;sans-serif" w:hAnsi="Arial;sans-serif"/>
            <w:b w:val="false"/>
            <w:color w:val="000080"/>
            <w:sz w:val="20"/>
            <w:u w:val="single"/>
          </w:rPr>
          <w:t xml:space="preserv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9 - RETIREMENT BENEFITS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Pretax FAS pension expense related to our qualified defined benefit pension plans consisted of the following (in millions):</w:t>
      </w:r>
    </w:p>
    <w:tbl>
      <w:tblPr>
        <w:tblW w:w="10205" w:type="dxa"/>
        <w:jc w:val="left"/>
        <w:tblInd w:w="0" w:type="dxa"/>
        <w:tblLayout w:type="fixed"/>
        <w:tblCellMar>
          <w:top w:w="28" w:type="dxa"/>
          <w:left w:w="28" w:type="dxa"/>
          <w:bottom w:w="28" w:type="dxa"/>
          <w:right w:w="28" w:type="dxa"/>
        </w:tblCellMar>
      </w:tblPr>
      <w:tblGrid>
        <w:gridCol w:w="1305"/>
        <w:gridCol w:w="1117"/>
        <w:gridCol w:w="1121"/>
        <w:gridCol w:w="109"/>
        <w:gridCol w:w="109"/>
        <w:gridCol w:w="109"/>
        <w:gridCol w:w="283"/>
        <w:gridCol w:w="537"/>
        <w:gridCol w:w="146"/>
        <w:gridCol w:w="146"/>
        <w:gridCol w:w="146"/>
        <w:gridCol w:w="148"/>
        <w:gridCol w:w="109"/>
        <w:gridCol w:w="109"/>
        <w:gridCol w:w="109"/>
        <w:gridCol w:w="250"/>
        <w:gridCol w:w="639"/>
        <w:gridCol w:w="129"/>
        <w:gridCol w:w="129"/>
        <w:gridCol w:w="129"/>
        <w:gridCol w:w="129"/>
        <w:gridCol w:w="250"/>
        <w:gridCol w:w="639"/>
        <w:gridCol w:w="129"/>
        <w:gridCol w:w="129"/>
        <w:gridCol w:w="129"/>
        <w:gridCol w:w="129"/>
        <w:gridCol w:w="109"/>
        <w:gridCol w:w="109"/>
        <w:gridCol w:w="109"/>
        <w:gridCol w:w="249"/>
        <w:gridCol w:w="635"/>
        <w:gridCol w:w="128"/>
        <w:gridCol w:w="128"/>
        <w:gridCol w:w="128"/>
        <w:gridCol w:w="197"/>
      </w:tblGrid>
      <w:tr>
        <w:trPr/>
        <w:tc>
          <w:tcPr>
            <w:tcW w:w="130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19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140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35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Qualified defined benefit pension plans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cost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(1,042)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Expected return on plan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1,063</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Amortization of actuarial losses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Non-service FAS pension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(81)</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(241)</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FAS pension expense</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w:t>
            </w:r>
          </w:p>
        </w:tc>
        <w:tc>
          <w:tcPr>
            <w:tcW w:w="14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2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(277)</w:t>
            </w:r>
          </w:p>
        </w:tc>
        <w:tc>
          <w:tcPr>
            <w:tcW w:w="12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w:t>
            </w:r>
          </w:p>
        </w:tc>
        <w:tc>
          <w:tcPr>
            <w:tcW w:w="12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We record the service cost component of FAS pension expense for our qualified defined benefit pension plans in consolidated operating profit and the non-service components in non-service FAS pension expense on our consolidated statements of earnings.</w:t>
      </w:r>
    </w:p>
    <w:p>
      <w:pPr>
        <w:pStyle w:val="TextBody"/>
        <w:bidi w:val="0"/>
        <w:spacing w:lineRule="auto" w:line="288"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Total FAS income for our other retirement benefit plans was not material during the quarters and nine months ended September 27, 2026 and September 28, 2025 and is part of other non-operating income, net on our consolidated statements of earnings.</w:t>
      </w:r>
    </w:p>
    <w:p>
      <w:pPr>
        <w:pStyle w:val="TextBody"/>
        <w:bidi w:val="0"/>
        <w:spacing w:lineRule="auto" w:line="288"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The required funding of our qualified defined benefit pension plans is determined in accordance with the Employee Retirement Income Security Act of 1974 (ERISA), as amended, along with consideration of CAS and Internal Revenue Code rules. We made no contributions to our qualified defined benefit pension plans during the quarters and nine months ended September 27, 2026 and September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10 - STOCKHOLDERS’ EQUITY</w:t>
      </w:r>
    </w:p>
    <w:p>
      <w:pPr>
        <w:pStyle w:val="TextBody"/>
        <w:bidi w:val="0"/>
        <w:spacing w:lineRule="auto" w:line="288" w:before="200" w:after="283"/>
        <w:jc w:val="left"/>
        <w:rPr>
          <w:rFonts w:ascii="Arial;sans-serif" w:hAnsi="Arial;sans-serif"/>
          <w:b/>
          <w:color w:val="000000"/>
          <w:sz w:val="20"/>
          <w:shd w:fill="FFFFFF" w:val="clear"/>
        </w:rPr>
      </w:pPr>
      <w:r>
        <w:rPr>
          <w:rFonts w:ascii="Arial;sans-serif" w:hAnsi="Arial;sans-serif"/>
          <w:b/>
          <w:color w:val="000000"/>
          <w:sz w:val="20"/>
          <w:shd w:fill="FFFFFF" w:val="clear"/>
        </w:rPr>
        <w:t>Dividends</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We paid cash dividends of $2.4 billion ($10.35 per share) during the nine months ended September 27, 2026. In October 2026, subsequent to our third quarter, we authorized a fourth quarter 2026 dividend payment of $3.60 per share, an increase of $0.15 per share over our third quarter 2026 dividend of $3.45 per share. The total amount of dividends declared may differ from the total amount of dividends paid during a period due to the timing of dividend-equivalents paid on RSUs and PSUs. These dividend-equivalents are accrued during the vesting period and are paid upon the vesting of the RSUs and PSUs, which primarily occurs in the first quarter each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80"/>
            <w:sz w:val="20"/>
            <w:u w:val="single"/>
          </w:rPr>
          <w:t>Table</w:t>
        </w:r>
      </w:hyperlink>
      <w:hyperlink w:anchor="id7bb5a769f414c889a01c20e9627a359_7">
        <w:r>
          <w:rPr>
            <w:rStyle w:val="InternetLink"/>
            <w:rFonts w:ascii="Arial;sans-serif" w:hAnsi="Arial;sans-serif"/>
            <w:b w:val="false"/>
            <w:color w:val="000080"/>
            <w:sz w:val="20"/>
            <w:u w:val="single"/>
          </w:rPr>
          <w:t xml:space="preserv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Accumulated Other Comprehensive Loss (AOCL)</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Changes in the balance of AOCL, net of tax, consisted of the following (in millions):</w:t>
      </w:r>
    </w:p>
    <w:tbl>
      <w:tblPr>
        <w:tblW w:w="10205" w:type="dxa"/>
        <w:jc w:val="left"/>
        <w:tblInd w:w="0" w:type="dxa"/>
        <w:tblLayout w:type="fixed"/>
        <w:tblCellMar>
          <w:top w:w="28" w:type="dxa"/>
          <w:left w:w="28" w:type="dxa"/>
          <w:bottom w:w="28" w:type="dxa"/>
          <w:right w:w="28" w:type="dxa"/>
        </w:tblCellMar>
      </w:tblPr>
      <w:tblGrid>
        <w:gridCol w:w="2185"/>
        <w:gridCol w:w="1912"/>
        <w:gridCol w:w="1924"/>
        <w:gridCol w:w="109"/>
        <w:gridCol w:w="109"/>
        <w:gridCol w:w="109"/>
        <w:gridCol w:w="242"/>
        <w:gridCol w:w="742"/>
        <w:gridCol w:w="127"/>
        <w:gridCol w:w="109"/>
        <w:gridCol w:w="109"/>
        <w:gridCol w:w="109"/>
        <w:gridCol w:w="268"/>
        <w:gridCol w:w="613"/>
        <w:gridCol w:w="140"/>
        <w:gridCol w:w="109"/>
        <w:gridCol w:w="109"/>
        <w:gridCol w:w="109"/>
        <w:gridCol w:w="211"/>
        <w:gridCol w:w="705"/>
        <w:gridCol w:w="155"/>
      </w:tblGrid>
      <w:tr>
        <w:trPr/>
        <w:tc>
          <w:tcPr>
            <w:tcW w:w="21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Retirement</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AOCL</w:t>
            </w:r>
          </w:p>
        </w:tc>
      </w:tr>
      <w:tr>
        <w:trPr/>
        <w:tc>
          <w:tcPr>
            <w:tcW w:w="6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(7,555)</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(7,542)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Arial;sans-serif" w:hAnsi="Arial;sans-serif"/>
                <w:b w:val="false"/>
                <w:color w:val="000000"/>
                <w:sz w:val="20"/>
              </w:rPr>
              <w:t>Amortization of net actuarial losses and prior service costs</w:t>
            </w:r>
            <w:r>
              <w:rPr>
                <w:color w:val="000000"/>
              </w:rPr>
              <w:t xml:space="preserve"> </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reclassified from AOCL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(7,368)</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(7,420)</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comprehensive income before reclassifications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AOCL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Arial;sans-serif" w:hAnsi="Arial;sans-serif"/>
                <w:b w:val="false"/>
                <w:color w:val="000000"/>
                <w:sz w:val="20"/>
              </w:rPr>
              <w:t>Amortization of net actuarial losses and prior service costs</w:t>
            </w:r>
            <w:r>
              <w:rPr>
                <w:color w:val="000000"/>
              </w:rPr>
              <w:t xml:space="preserve"> </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reclassified from AOCL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other comprehensive income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28,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(8,095)</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pPr>
      <w:r>
        <w:rPr>
          <w:rFonts w:ascii="Arial;sans-serif" w:hAnsi="Arial;sans-serif"/>
          <w:b w:val="false"/>
          <w:color w:val="000000"/>
          <w:sz w:val="12"/>
        </w:rPr>
        <w:t>(a)</w:t>
      </w:r>
      <w:r>
        <w:rPr>
          <w:rFonts w:ascii="Arial;sans-serif" w:hAnsi="Arial;sans-serif"/>
          <w:b w:val="false"/>
          <w:color w:val="000000"/>
          <w:sz w:val="20"/>
        </w:rPr>
        <w:t>Reclassifications from AOCL related to retirement benefits were recorded as a component of FAS expense for each period presented. These amounts include $63 million and $65 million, net of tax, for the quarters ended September 27, 2026 and September 28, 2025, which are comprised of the amortization of net actuarial losses of $57 million and $55 million, and the amortization of net prior service costs of $6 million and $10 million, for the quarters ended September 27, 2026 and September 28, 2025. See “Note 9 - Retirement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80"/>
            <w:sz w:val="20"/>
            <w:u w:val="single"/>
          </w:rPr>
          <w:t>Table</w:t>
        </w:r>
      </w:hyperlink>
      <w:hyperlink w:anchor="id7bb5a769f414c889a01c20e9627a359_7">
        <w:r>
          <w:rPr>
            <w:rStyle w:val="InternetLink"/>
            <w:rFonts w:ascii="Arial;sans-serif" w:hAnsi="Arial;sans-serif"/>
            <w:b w:val="false"/>
            <w:color w:val="000080"/>
            <w:sz w:val="20"/>
            <w:u w:val="single"/>
          </w:rPr>
          <w:t xml:space="preserv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11 - LEGAL PROCEEDINGS AND CONTINGENCIES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Although we cannot predict the outcome of legal or other proceedings with certainty, where there is at least a reasonable possibility that a loss may be incurred, GAAP requires us to disclose an estimate of the reasonably possible loss or range of loss or make a statement that such an estimate cannot be made. We follow a thorough process in which we seek to estimate the reasonably possible loss or range of loss, and only if we are unable to make such an estimate do we conclude and disclose that an estimate cannot be made. Accordingly, unless otherwise indicated below in our discussion of legal proceedings or environmental matters, a reasonably possible loss or range of loss associated with any individual proceeding or matter cannot be estimated.</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Legal Proceedings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We are a party to litigation and other proceedings that arise in the ordinary course of our business, including matters arising under federal, state, local and foreign requirements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do not believe that these matters, including the legal proceedings described below, will have a material adverse effect on the company as a whole, notwithstanding that the unfavorable resolution of any matter may have a material effect on our net earnings and cash flows in the period in which it is recognized. </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Securities-Related Actions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Arial;sans-serif" w:hAnsi="Arial;sans-serif"/>
          <w:b w:val="false"/>
          <w:color w:val="000000"/>
          <w:sz w:val="20"/>
        </w:rPr>
      </w:pPr>
      <w:r>
        <w:rPr>
          <w:rFonts w:ascii="Arial;sans-serif" w:hAnsi="Arial;sans-serif"/>
          <w:b w:val="false"/>
          <w:color w:val="000000"/>
          <w:sz w:val="20"/>
        </w:rPr>
        <w:t xml:space="preserve">On July 28, 2025, a putative class action was filed—and subsequently amended on January 12, 2026—in United States District Court for the Southern District of New York against us and certain current and former members of our senior management. The shareholder plaintiffs assert claims under Sections 10(b) and 20(a) of the Securities Exchange Act of 1934 (Exchange Act), on behalf of persons and entities that purchased or otherwise acquired our securities between January 23, 2024 and July 21, 2025. Plaintiffs seek unspecified losses allegedly caused by alleged misstatements about certain classified programs in the Aeronautics and MFC business segments and F-35 program, which were allegedly revealed to be false when we announced estimated losses relating to certain of those programs. </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Arial;sans-serif" w:hAnsi="Arial;sans-serif"/>
          <w:b w:val="false"/>
          <w:color w:val="000000"/>
          <w:sz w:val="20"/>
        </w:rPr>
      </w:pPr>
      <w:r>
        <w:rPr>
          <w:rFonts w:ascii="Arial;sans-serif" w:hAnsi="Arial;sans-serif"/>
          <w:b w:val="false"/>
          <w:color w:val="000000"/>
          <w:sz w:val="20"/>
        </w:rPr>
        <w:t>Separately, based on allegations substantially similar to the above-described securities class action, shareholder derivative complaints were filed in the United States District Court for the District of Maryland on September 11, 2025 and May 18, 2026, against current and former members of our Board of Directors and senior management. We are named as a nominal defendant. Together, the derivative complaints assert claims under Sections 14(a), 20(a), and 10(b) of the Exchange Act, as well as claims for breach of fiduciary duty, abuse of control, gross mismanagement, corporate waste, unjust enrichment, and contribution. Based on the information available to date, we do not believe that these securities-related matters will have a material adverse effect on our results of operations, financial condition, or liquidity.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Lockheed Martin v. Metropolitan Transportation Authority</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On April 24, 2009, we filed a declaratory judgment action against the New York Metropolitan Transportation Authority and its Capital Construction Company (collectively, the MTA) asking the U.S. District Court for the Southern District of New York to find that the MTA is in material breach of our agreement based on the MTA’s failure to provide access to sites where work must be performed and the customer-furnished equipment necessary to complete the contract. The MTA filed an answer and counterclaim alleging that we breached the contract and subsequently terminated the contract for alleged default. The primary damages sought by the MTA are the costs to complete the contract and potential re-procurement costs. While we are unable to estimate the cost of another contractor to complete the contract and the costs of re-procurement, we note that our contract with the MTA had a total value of $323 million, of which $241 million was paid to us, and that the MTA is seeking damages of approximately $190 million. We dispute the MTA’s allegations and are defending against them. Additionally, following an investigation, our sureties on a performance bond related to this matter, who were represented by independent counsel, concluded that the MTA’s termination of the contract was improper. Finally, our declaratory judgment action was later amended to include claims for monetary damages against the MTA of approximately $95 million. This matter was taken under submission by the District Court in December 2014, after a five-week bench trial and the filing of post-trial pleadings by the parties. We continue to await a decision from the District Court. Although this matter relates to our former Information Systems &amp; Global Solutions business (IS&amp;GS), we retained responsibility for the litigation when we divested IS&amp;GS in 2016.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80"/>
            <w:sz w:val="20"/>
            <w:u w:val="single"/>
          </w:rPr>
          <w:t>Table</w:t>
        </w:r>
      </w:hyperlink>
      <w:hyperlink w:anchor="id7bb5a769f414c889a01c20e9627a359_7">
        <w:r>
          <w:rPr>
            <w:rStyle w:val="InternetLink"/>
            <w:rFonts w:ascii="Arial;sans-serif" w:hAnsi="Arial;sans-serif"/>
            <w:b w:val="false"/>
            <w:color w:val="000080"/>
            <w:sz w:val="20"/>
            <w:u w:val="single"/>
          </w:rPr>
          <w:t xml:space="preserv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Environmental Matters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We are involved in proceedings and potential proceedings relating to soil, sediment, surface water, and groundwater contamination, disposal of hazardous substances, and other environmental matters at several of our current or former facilities, other facilities for which we may have contractual responsibility, and at third-party sites where we have been designated as a potentially responsible party (PRP). These proceedings could result in fines, penalties, cost reimbursements or contributions, compensatory or treble damages or non-monetary sanctions or relief.</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At September 27, 2026 and December 31, 2025, the aggregate amount of liabilities recorded for environmental remediation matters was $644 million and $659 million, most of which are recorded in other noncurrent liabilities on our consolidated balance sheets. We have recorded assets for the portion of environmental costs that are probable of future recovery totaling $591 million and $605 million at September 27, 2026 and December 31, 2025, most of which are recorded in other noncurrent assets on our consolidated balance sheets.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We continue to pursue claims against other PRPs, including the U.S. Government, for recovery of costs incurred or for contribution to site remediation costs, and are conducting remediation activities under various consent decrees, orders, and agreements relating to soil, groundwater, sediment, or surface water contamination at certain sites of former or current operations. Under certain of these agreements, the U.S. Government and/or private parties reimburse us an amount equal to a percentage, specific to each site, of expenditures for certain remediation activities in their capacity as PRPs under the Comprehensive Environmental Response, Compensation and Liability Act (CERCLA). </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The timing and extent of remediation costs remain uncertain. New site-specific information or changes in federal or state regulation could increase current liability and recoverable asset estimates. We perform quarterly reviews of these liabilities and receivables, projecting costs and recoveries over a period of approximately 20 years.</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Letters of Credit and Surety Bonds</w:t>
      </w:r>
    </w:p>
    <w:p>
      <w:pPr>
        <w:pStyle w:val="TextBody"/>
        <w:bidi w:val="0"/>
        <w:spacing w:lineRule="auto" w:line="288" w:before="0" w:after="0"/>
        <w:ind w:left="0" w:right="0" w:firstLine="495"/>
        <w:jc w:val="both"/>
        <w:rPr>
          <w:rFonts w:ascii="Arial;sans-serif" w:hAnsi="Arial;sans-serif"/>
          <w:b w:val="false"/>
          <w:color w:val="000000"/>
          <w:sz w:val="20"/>
        </w:rPr>
      </w:pPr>
      <w:r>
        <w:rPr>
          <w:rFonts w:ascii="Arial;sans-serif" w:hAnsi="Arial;sans-serif"/>
          <w:b w:val="false"/>
          <w:color w:val="000000"/>
          <w:sz w:val="20"/>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We had total outstanding letters of credit and surety bonds aggregating $3.5 billion at both September 27, 2026 and December 31, 2025.</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Other Contingencies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As a U.S. Government contractor, we are subject to various audits and investigations by the U.S. Government to determine whether our operations are being conducted in accordance with applicable regulatory requirements. U.S. Government investigations of us, whether relating to U.S. Government contracts or conducted for other reasons, could result in civil or criminal penalties and administrative sanctions, including reductions of the value of contracts, contract modifications or terminations, forfeiture of profits, suspension of payments, repayments, fines or penalties being imposed upon us, suspension, proposed debarment, debarment from eligibility for future U.S. Government contracting, or suspension of export privileges. Reductions of the value of contracts, contract modifications or terminations, forfeiture of profits, suspension of payments, repayments, fines and penalties could have a material impact on financial condition and results of operations in any particular reporting period, and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Additionally, in the normal course of business, we provide warranties to our customers associated with certain product sales. We record estimated warranty costs in the period in which the related products are delivered. The warranty liability is generally based on the number of months of warranty coverage remaining for the products delivered and the average historical monthly warranty payments. Warranty obligations incurred in connection with long-term production contracts are accounted for within the contract estimates at completion.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80"/>
            <w:sz w:val="20"/>
            <w:u w:val="single"/>
          </w:rPr>
          <w:t>Table</w:t>
        </w:r>
      </w:hyperlink>
      <w:hyperlink w:anchor="id7bb5a769f414c889a01c20e9627a359_7">
        <w:r>
          <w:rPr>
            <w:rStyle w:val="InternetLink"/>
            <w:rFonts w:ascii="Arial;sans-serif" w:hAnsi="Arial;sans-serif"/>
            <w:b w:val="false"/>
            <w:color w:val="000080"/>
            <w:sz w:val="20"/>
            <w:u w:val="single"/>
          </w:rPr>
          <w:t xml:space="preserve"> of 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12 - FAIR VALUE MEASUREMENTS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Assets and liabilities measured and recorded at fair value on a recurring basis consisted of the following (in millions):</w:t>
      </w:r>
    </w:p>
    <w:tbl>
      <w:tblPr>
        <w:tblW w:w="10205" w:type="dxa"/>
        <w:jc w:val="left"/>
        <w:tblInd w:w="0" w:type="dxa"/>
        <w:tblLayout w:type="fixed"/>
        <w:tblCellMar>
          <w:top w:w="28" w:type="dxa"/>
          <w:left w:w="28" w:type="dxa"/>
          <w:bottom w:w="28" w:type="dxa"/>
          <w:right w:w="28" w:type="dxa"/>
        </w:tblCellMar>
      </w:tblPr>
      <w:tblGrid>
        <w:gridCol w:w="707"/>
        <w:gridCol w:w="622"/>
        <w:gridCol w:w="600"/>
        <w:gridCol w:w="109"/>
        <w:gridCol w:w="109"/>
        <w:gridCol w:w="109"/>
        <w:gridCol w:w="211"/>
        <w:gridCol w:w="646"/>
        <w:gridCol w:w="109"/>
        <w:gridCol w:w="109"/>
        <w:gridCol w:w="109"/>
        <w:gridCol w:w="109"/>
        <w:gridCol w:w="211"/>
        <w:gridCol w:w="646"/>
        <w:gridCol w:w="109"/>
        <w:gridCol w:w="109"/>
        <w:gridCol w:w="109"/>
        <w:gridCol w:w="109"/>
        <w:gridCol w:w="222"/>
        <w:gridCol w:w="428"/>
        <w:gridCol w:w="116"/>
        <w:gridCol w:w="109"/>
        <w:gridCol w:w="109"/>
        <w:gridCol w:w="109"/>
        <w:gridCol w:w="109"/>
        <w:gridCol w:w="109"/>
        <w:gridCol w:w="109"/>
        <w:gridCol w:w="109"/>
        <w:gridCol w:w="211"/>
        <w:gridCol w:w="646"/>
        <w:gridCol w:w="109"/>
        <w:gridCol w:w="109"/>
        <w:gridCol w:w="109"/>
        <w:gridCol w:w="109"/>
        <w:gridCol w:w="211"/>
        <w:gridCol w:w="646"/>
        <w:gridCol w:w="109"/>
        <w:gridCol w:w="109"/>
        <w:gridCol w:w="109"/>
        <w:gridCol w:w="109"/>
        <w:gridCol w:w="222"/>
        <w:gridCol w:w="428"/>
        <w:gridCol w:w="116"/>
        <w:gridCol w:w="109"/>
        <w:gridCol w:w="109"/>
        <w:gridCol w:w="109"/>
        <w:gridCol w:w="155"/>
      </w:tblGrid>
      <w:tr>
        <w:trPr/>
        <w:tc>
          <w:tcPr>
            <w:tcW w:w="70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482" w:type="dxa"/>
            <w:gridSpan w:val="4"/>
            <w:tcBorders/>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w:t>
            </w: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w:t>
            </w:r>
            <w:r>
              <w:rPr>
                <w:color w:val="000000"/>
              </w:rPr>
              <w:t> </w:t>
            </w:r>
          </w:p>
        </w:tc>
        <w:tc>
          <w:tcPr>
            <w:tcW w:w="1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Substantially all assets measured at fair value, other than derivatives, represent assets held in trusts to fund certain non-qualified deferred compensation and pension plans and are recorded in other noncurrent assets on our consolidated balance sheets. The fair values of mutual funds and certain other securities are determined by reference to the quoted market price per unit in active markets multiplied by the number of units held without consideration of transaction costs. The fair values of U.S. Government and certain other securities are determined using pricing models that use observable inputs (e.g., interest rates and yield curves observable at commonly quoted intervals), bids provided by brokers or dealers or quoted prices of securities with similar characteristics. The fair values of derivative instruments, which consist of foreign currency forward contracts, including embedded derivatives, and interest rate swap contracts, are primarily determined based on the present value of future cash flows using model-derived valuations that use observable inputs such as interest rates, credit spreads and foreign currency exchange rates.</w:t>
      </w:r>
    </w:p>
    <w:p>
      <w:pPr>
        <w:pStyle w:val="TextBody"/>
        <w:bidi w:val="0"/>
        <w:spacing w:lineRule="auto" w:line="276"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We use derivative instruments principally to reduce our exposure to market risks from changes in foreign currency exchange rates and interest rates. We transact business globally and are subject to risks associated with changing foreign currency exchange rates. We do not enter into or hold derivative instruments for speculative trading purposes. These contracts hedge forecasted foreign currency transactions in order to minimize fluctuations in our earnings and cash flows associated with changes in foreign currency exchange rates. We designate foreign currency hedges as cash flow hedges. We enter into foreign currency hedges such as forward and option contracts that change in value as foreign currency exchange rates change. Our most significant foreign currency exposures relate to the British pound sterling, the euro, the Canadian dollar, the Australian dollar, the Norwegian kroner and the Polish zloty.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minimize the impact of interest rate changes on earnings. These swaps are designated as cash flow hedges. We also may enter into derivative instruments that are not designated as hedges and do not qualify for hedge accounting, which are intended to minimize certain economic exposures.</w:t>
      </w:r>
    </w:p>
    <w:p>
      <w:pPr>
        <w:pStyle w:val="TextBody"/>
        <w:bidi w:val="0"/>
        <w:spacing w:lineRule="auto" w:line="276"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The aggregate notional amount of our outstanding interest rate swaps was $1.4 billion at September 27, 2026 and $1.3 billion December 31, 2025. The aggregate notional amount of our outstanding foreign currency hedges was $6.9 billion and $7.2 billion at September 27, 2026 and December 31, 2025. The fair values of our outstanding interest rate swaps and foreign currency hedges at September 27, 2026 and December 31, 2025 were not significant. Derivative instruments did not have a material impact on net earnings and comprehensive income during the quarters and nine months ended September 27, 2026 and September 28, 2025. The impact of derivative instruments on our consolidated statements of cash flows is included in net cash provided by operating activities. Substantially all of our derivatives are designated for hedge accounting.</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In addition to the financial instruments listed in the table above, we hold other financial instruments, including cash and cash equivalents, receivables, accounts payable and debt. The carrying amounts for cash and cash equivalents, receivables and accounts payable approximated their fair values. The estimated fair value of our outstanding debt was $19.3 billion and $22.0 billion at September 27, 2026 and December 31, 2025. The outstanding principal amount of debt, including short-term and long-term debt, was $21.7 billion and $22.9 billion at September 27, 2026 and December 31, 2025, excluding $1.2 billion of unamortized discounts and issuance costs at both September 27, 2026 and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80"/>
            <w:sz w:val="20"/>
            <w:u w:val="single"/>
          </w:rPr>
          <w:t>Table</w:t>
        </w:r>
      </w:hyperlink>
      <w:hyperlink w:anchor="id7bb5a769f414c889a01c20e9627a359_7">
        <w:r>
          <w:rPr>
            <w:rStyle w:val="InternetLink"/>
            <w:rFonts w:ascii="Arial;sans-serif" w:hAnsi="Arial;sans-serif"/>
            <w:b w:val="false"/>
            <w:color w:val="000080"/>
            <w:sz w:val="20"/>
            <w:u w:val="single"/>
          </w:rPr>
          <w:t xml:space="preserv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2025. The estimated fair values of our outstanding debt were determined based on the present value of future cash flows using model-derived valuations that use observable inputs such as interest rates and credit spreads (Level 2).</w:t>
      </w:r>
    </w:p>
    <w:p>
      <w:pPr>
        <w:pStyle w:val="TextBody"/>
        <w:bidi w:val="0"/>
        <w:spacing w:lineRule="auto" w:line="276" w:before="200" w:after="283"/>
        <w:ind w:left="0" w:right="0" w:firstLine="495"/>
        <w:jc w:val="both"/>
        <w:rPr/>
      </w:pPr>
      <w:r>
        <w:rPr>
          <w:rFonts w:ascii="Arial;sans-serif" w:hAnsi="Arial;sans-serif"/>
          <w:b w:val="false"/>
          <w:color w:val="000000"/>
          <w:sz w:val="20"/>
        </w:rPr>
        <w:t>Also in addition to the financial instruments listed in the table above, we</w:t>
      </w:r>
      <w:r>
        <w:rPr>
          <w:color w:val="000000"/>
          <w:shd w:fill="FFFFFF" w:val="clear"/>
        </w:rPr>
        <w:t xml:space="preserve"> </w:t>
      </w:r>
      <w:r>
        <w:rPr>
          <w:rFonts w:ascii="Arial;sans-serif" w:hAnsi="Arial;sans-serif"/>
          <w:b w:val="false"/>
          <w:color w:val="000000"/>
          <w:sz w:val="20"/>
          <w:shd w:fill="FFFFFF" w:val="clear"/>
        </w:rPr>
        <w:t xml:space="preserve">make investments in companies that we believe are advancing or developing new technologies applicable to our business. These investments are primarily in early-stage companies and may be in the form of common or preferred stock, warrants, convertible debt </w:t>
      </w:r>
      <w:r>
        <w:rPr>
          <w:rFonts w:ascii="Arial;sans-serif" w:hAnsi="Arial;sans-serif"/>
          <w:b w:val="false"/>
          <w:color w:val="000000"/>
          <w:sz w:val="20"/>
        </w:rPr>
        <w:t>securities, investments in funds or other investments. Most of these investments are in securities without readily determinable fair values (privately held securities), which are measured initially at cost and are then adjusted to fair value only if there is an observable price change or reduced for impairment, if applicable. The carrying amounts of the investments were $831 million and $669 million at September 27, 2026 and December 31, 2025. Net gains recorded due to adjustments in valuation and/or sales of investments were not material for the quarters and nine months ended September 27, 2026 and September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NOTE 13 - OTHER</w:t>
      </w:r>
    </w:p>
    <w:p>
      <w:pPr>
        <w:pStyle w:val="TextBody"/>
        <w:bidi w:val="0"/>
        <w:spacing w:lineRule="auto" w:line="288"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In July 2026, we entered into a definitive agreement to acquire Ultra Maritime Solutions (Ultra Maritime), a global defense company specializing in advanced undersea warfare and anti-submarine capabilities for allied naval forces, for $3.45 billion. Upon closing, Ultra Maritime will be reported within our RMS business segment. We expect to fund the acquisition with cash on hand. The transaction is expected to close in the fourth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Board of Directors and Stockholders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Lockheed Martin Corporation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Results of Review of Interim Financial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reviewed the accompanying consolidated balance sheet of Lockheed Martin Corporation (the Company) as of September 27, 2026, the related consolidated statements of earnings, comprehensive income and equity for the quarters and nine months ended September 27, 2026 and September 28, 2025, the consolidated statements of cash flows for the nine months ended September 27, 2026 and September 28, 2025, and the related notes (collectively referred to as the “consolidated interim financial statements”). Based on our reviews, we are not aware of any material modifications that should be made to the consolidated interim financial statements for them to be in conformity with U.S. generally accepted accounting principles.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previously audited, in accordance with the standards of the Public Company Accounting Oversight Board (United States) (PCAOB), the consolidated balance sheet of the Company as of December 31, 2025, the related consolidated statements of earnings, comprehensive income, cash flows and equity for the year then ended, and the related notes (not presented herein); and in our report dated January 29, 2026, we expressed an unqualified audit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Basis for Review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lineRule="auto" w:line="288" w:before="360" w:after="283"/>
        <w:jc w:val="both"/>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360" w:after="283"/>
        <w:jc w:val="both"/>
        <w:rPr>
          <w:rFonts w:ascii="Arial;sans-serif" w:hAnsi="Arial;sans-serif"/>
          <w:b w:val="false"/>
          <w:color w:val="000000"/>
          <w:sz w:val="20"/>
        </w:rPr>
      </w:pPr>
      <w:r>
        <w:rPr>
          <w:rFonts w:ascii="Arial;sans-serif" w:hAnsi="Arial;sans-serif"/>
          <w:b w:val="false"/>
          <w:color w:val="000000"/>
          <w:sz w:val="20"/>
        </w:rPr>
        <w:t>Tysons, Virginia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October 22,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The following Management’s Discussion and Analysis of Financial Condition and Results of Operations (MD&amp;A) is intended to help the reader understand our results of operations and financial condition. The MD&amp;A is provided as a supplement to, and should be read in conjunction with, our consolidated financial statements and notes to consolidated financial statements herein and with our Annual Report on Form 10-K for the year ended December 31, 2025 (2025 Form 10-K). </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We are a global aerospace and defense technology company that builds and sustains the solutions America and its allies need to deter conflict and advance national security and scientific exploration objectives. Our four business areas – Aeronautics, Missiles and Fire Control, Rotary and Mission Systems, and Space – work as one company offering integrated solutions, at scale, across all warfighting domains. Our defense, space, intelligence, homeland security, information technology, and cybersecurity capabilities serve U.S. and international customers in defense, civil and commercial applications. Our principal customers are agencies of the U.S. Government and allies. During the nine months ended September 27, 2026, 70% of our $58.8 billion in sales were from the U.S. Government, either as a prime contractor or as a subcontractor (including 61% from U.S. Department of War (DoW), also known as the Department of Defense under 10 U.S.C. § 111(a)), and 30% were from international customers (including foreign military sales (FMS) contracted through the U.S. Government).</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Global Security</w:t>
      </w:r>
    </w:p>
    <w:p>
      <w:pPr>
        <w:pStyle w:val="TextBody"/>
        <w:bidi w:val="0"/>
        <w:spacing w:lineRule="auto" w:line="268" w:before="0" w:after="0"/>
        <w:ind w:left="0" w:right="0" w:firstLine="495"/>
        <w:jc w:val="both"/>
        <w:rPr>
          <w:rFonts w:ascii="Arial;sans-serif" w:hAnsi="Arial;sans-serif"/>
          <w:b w:val="false"/>
          <w:color w:val="000000"/>
          <w:sz w:val="20"/>
        </w:rPr>
      </w:pPr>
      <w:r>
        <w:rPr>
          <w:rFonts w:ascii="Arial;sans-serif" w:hAnsi="Arial;sans-serif"/>
          <w:b w:val="false"/>
          <w:color w:val="000000"/>
          <w:sz w:val="20"/>
        </w:rPr>
        <w:t>We operate in a complex and evolving global security environment. Conflicts or tensions in areas such as the Middle East, Europe, and the Pacific region have heightened tensions and highlighted security requirements globally, including in these regions as well as the U.S. Although these tensions and conflicts may drive interest in specific products or services as countries seek to improve their security posture, our business primarily operates on a long-cycle basis. As a result, the U.S. Government has been broadly focused on increasing industry capacity to meet long-term demand. We are working with the U.S. Government, international partners, and our supply chain with the objective of increasing capacity and enhancing our ability to scale operations to contracted or anticipated demand. In 2026, we have entered into multi-year contracts with the DoW intended to increase production quantities and accelerate delivery schedules for the Patriot Advanced Capability-3 Missile Segment Enhancement (PAC-3 MSE) and Terminal High Altitude Area Defense (THAAD) programs. We have also entered into munitions framework agreements to rapidly accelerate production and delivery of the Precision Strike Missile (PrSM) and the Joint Advanced Tactical Missile (JATM), and a framework agreement for multi-year production and sustainment of the F-35 Lightning II.</w:t>
      </w:r>
    </w:p>
    <w:p>
      <w:pPr>
        <w:pStyle w:val="TextBody"/>
        <w:bidi w:val="0"/>
        <w:spacing w:before="0" w:after="0"/>
        <w:ind w:left="0" w:right="0" w:firstLine="495"/>
        <w:jc w:val="both"/>
        <w:rPr/>
      </w:pPr>
      <w:r>
        <w:rPr/>
      </w:r>
    </w:p>
    <w:p>
      <w:pPr>
        <w:pStyle w:val="TextBody"/>
        <w:bidi w:val="0"/>
        <w:spacing w:lineRule="auto" w:line="276" w:before="0" w:after="0"/>
        <w:ind w:left="0" w:right="0" w:firstLine="495"/>
        <w:jc w:val="left"/>
        <w:rPr>
          <w:rFonts w:ascii="Arial;sans-serif" w:hAnsi="Arial;sans-serif"/>
          <w:b w:val="false"/>
          <w:color w:val="000000"/>
          <w:sz w:val="20"/>
        </w:rPr>
      </w:pPr>
      <w:r>
        <w:rPr>
          <w:rFonts w:ascii="Arial;sans-serif" w:hAnsi="Arial;sans-serif"/>
          <w:b w:val="false"/>
          <w:color w:val="000000"/>
          <w:sz w:val="20"/>
        </w:rPr>
        <w:t>For additional risks to the company related to global security, see Part I, Item 1A, “Risk Factors” of our 2025 Form 10-K.</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Global Economic and Geopolitical Environment</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Our business and financial performance are impacted by a combination of macroeconomic factors, such as inflationary pressures, impacts from technological change, and market volatility, as well as operational challenges, including supply chain delays and disruptions, and workforce challenges and labor shortfalls. These factors have contributed, and may continue to contribute, to increased costs, delays, disruptions and other performance challenges, as well as competing demands for limited resources to address such increased costs and other challenges, for our company, our suppliers and partners, and our customers.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We have experienced, and continue to experience, supply chain challenges, including supplier shortages and performance issues. Although on</w:t>
        <w:noBreakHyphen/>
        <w:t xml:space="preserve">time deliveries have generally been steady, pressures remain in certain areas, and we are proactively working with our suppliers to meet our contract commitments. In addition, macroeconomic conditions including elevated levels of inflation present risks for us, our suppliers and the stability of the broader defense industrial base. Supply chain challenges, including both the availability and cost of goods, may be further impacted due to the imposition of tariffs and the availability of raw materials including rare earth minerals. We continue to work to mitigate challenges caused by the supply chain or current macroeconomic environment on our business, including by deploying resources to work with our supply chain, securing materials and support by executing long-term contracts, enforcing existing contract terms, identifying alternative sources, collaborating with our customers to address industry-wide challenges, and optimizing our supply chain organization through digital transformation and workforce development. If we experience significant supply chain issues or high rates of inflation, and are unable to successfully mitigate the impact, our future profits, margins and cash flows, particularly for existing fixed-price contracts, may be adversely affected. We remain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committed to our ongoing efforts to increase the efficiency of our operations and improve the cost competitiveness and affordability of our products and services, which may, in part, offset cost increases from inflation.</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Certain materials and component parts that go into making our products are imported into the U.S. and are subject to tariffs, sanctions, embargoes, export and import controls, and other trade restrictions. Changes in trade policies, including tariffs and other restrictions, may affect the cost or availability of certain materials and components. While we continue to monitor these developments and pursue mitigation strategies where appropriate, excluding the near-term cash flow impact, we do not currently expect existing tariffs to have a material long-term impact on our results of operations. Through the nine months ended September 27, 2026, we have received approximately $225 million in refunds related to prior tariff assessments.</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 xml:space="preserve">Significant changes in tax, trade, or other policies either in the U.S. or other countries, as well as any fluctuation in foreign exchange rates as a result of such activity, could materially increase our tax burden, the price we pay for materials and component parts, the price our customers pay, and result in delays in products received or non-delivery from our suppliers as well as impact the availability of materials (including rare earth minerals), which could materially impact our business and financial results. </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In addition, recent government actions relating to rare earth minerals that are used in certain of our products have raised concerns about supply availability. We are monitoring the rare earth minerals supply chain and maintaining active engagement with our suppliers as the regulatory landscape evolves, and taking steps to mitigate potential disruptions, including identifying and qualifying alternative sources, securing supply through long-term agreements, and collaborating with our customers on industry-wide solutions. If we are unable to successfully mitigate disruptions to the availability of rare earth minerals, our future profits, margins and cash flows may be adversely affected.</w:t>
      </w:r>
    </w:p>
    <w:p>
      <w:pPr>
        <w:pStyle w:val="TextBody"/>
        <w:bidi w:val="0"/>
        <w:spacing w:lineRule="auto" w:line="26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For additional risks to the company related to the geopolitical and economic environment, see Part I, Item 1A, “Risk Factors” of our 2025 Form 10-K.</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U.S. Government Budget Environment</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Our primary customer is the U.S. Government, from which we derived 70% of our sales during the nine months ended September 27, 2026, including 61% from the DoW. Funding for U.S. Government programs is subject to a variety of factors that can affect our business, including the Administration’s budget requests and procurement priorities and policies, annual congressional budget authorization and appropriation processes, and other U.S. Government domestic and international priorities. U.S. Government spending levels, particularly defense spending, and timely funding thereof can affect our financial performance over the short and long term.</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The National Defense Authorization Act (NDAA) for FY 2026 was signed into law on December 18, 2025. This legislation authorizes $901 billion for national defense. On February 3, 2026, the President signed the Consolidated Appropriations Act, 2026, which provided $839.2 billion of discretionary funding for national defense through September 30, 2026, an increase of $8.4 billion over the President’s FY2026 Budget Request. Separately, the One Big Beautiful Bill Act (the Tax Act), signed into law on July 4, 2025, provides more than $150 billion of additional mandatory funding for Defense that is available through September 30, 2029.</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On April 3, 2026, the Administration released the FY 2027 Defense topline request. The FY 2027 proposal seeks a historic $1.5 trillion defense budget, driven by a large discretionary base request and an additional $350 billion of mandatory funding through reconciliation. It emphasizes a $760 billion weapons</w:t>
        <w:noBreakHyphen/>
        <w:t>procurement and modernization effort—highlighting commitment to munitions framework deals, Golden Dome missile defense, and an increase in F</w:t>
        <w:noBreakHyphen/>
        <w:t>35 purchases, among other items. On September 2, 2026, the President signed a continuing resolution that generally maintains FY 2026 funding levels through December 11, 2026. Congress has not completed action on full-year FY 2027 appropriations, and the timing and ultimate level of FY 2027 defense funding remain uncertain.</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 xml:space="preserve">Despite the Administration indicating their desire for a significant increase in defense spending in FY 2027, we anticipate the federal budget, additional potential tax law changes, and regulatory environment will continue to be subject to debate and compromise shaped by, among other things, the Administration and Congress, heightened political tensions, the global security environment, inflationary pressures, and macroeconomic conditions. The result may be shifting funding priorities, which could have material impacts on defense spending broadly and our programs. Additionally, the Administration continues to take steps to evaluate government-wide and defense-specific staffing and procurement, which includes assessing mission priorities, procurement methods, program performance, and other factors and then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potentially taking action based on those assessments. Those actions remain uncertain and could result in impacts to both our current and future business prospects and financial performance.</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See also the discussion of U.S. Government funding risks, in Part I, Item 1A, “Risk Factors”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6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Our operating cycle is primarily long-term and involves many types of contracts for the design, development, manufacture, integration, and sustainment of products and related activities with varying delivery schedules. Additionally, we close our books and records on the last Sunday of each month, except for the month of December, as our fiscal year ends on December 31, to align our financial closing with our business processes. Because of this, the number of weeks in a reporting quarter may vary slightly during the year and for comparable prior year periods. Consequently, the results of operations of a particular year, or year-to-year comparisons of sales and profits, may not be indicative of future operating results. The following discussions of comparative results should be reviewed in this context. All per share amounts cited in these discussions are presented on a “per diluted share” basis, unless otherwise noted. </w:t>
      </w:r>
    </w:p>
    <w:p>
      <w:pPr>
        <w:pStyle w:val="TextBody"/>
        <w:bidi w:val="0"/>
        <w:spacing w:lineRule="auto" w:line="26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Our consolidated results of operations were as follows (in millions, except per share data): </w:t>
      </w:r>
    </w:p>
    <w:tbl>
      <w:tblPr>
        <w:tblW w:w="10205" w:type="dxa"/>
        <w:jc w:val="left"/>
        <w:tblInd w:w="0" w:type="dxa"/>
        <w:tblLayout w:type="fixed"/>
        <w:tblCellMar>
          <w:top w:w="28" w:type="dxa"/>
          <w:left w:w="28" w:type="dxa"/>
          <w:bottom w:w="28" w:type="dxa"/>
          <w:right w:w="28" w:type="dxa"/>
        </w:tblCellMar>
      </w:tblPr>
      <w:tblGrid>
        <w:gridCol w:w="1131"/>
        <w:gridCol w:w="980"/>
        <w:gridCol w:w="992"/>
        <w:gridCol w:w="109"/>
        <w:gridCol w:w="109"/>
        <w:gridCol w:w="109"/>
        <w:gridCol w:w="216"/>
        <w:gridCol w:w="772"/>
        <w:gridCol w:w="111"/>
        <w:gridCol w:w="111"/>
        <w:gridCol w:w="111"/>
        <w:gridCol w:w="111"/>
        <w:gridCol w:w="109"/>
        <w:gridCol w:w="109"/>
        <w:gridCol w:w="109"/>
        <w:gridCol w:w="216"/>
        <w:gridCol w:w="772"/>
        <w:gridCol w:w="111"/>
        <w:gridCol w:w="111"/>
        <w:gridCol w:w="111"/>
        <w:gridCol w:w="111"/>
        <w:gridCol w:w="109"/>
        <w:gridCol w:w="109"/>
        <w:gridCol w:w="109"/>
        <w:gridCol w:w="216"/>
        <w:gridCol w:w="772"/>
        <w:gridCol w:w="111"/>
        <w:gridCol w:w="111"/>
        <w:gridCol w:w="111"/>
        <w:gridCol w:w="111"/>
        <w:gridCol w:w="109"/>
        <w:gridCol w:w="109"/>
        <w:gridCol w:w="109"/>
        <w:gridCol w:w="216"/>
        <w:gridCol w:w="771"/>
        <w:gridCol w:w="111"/>
        <w:gridCol w:w="111"/>
        <w:gridCol w:w="111"/>
        <w:gridCol w:w="178"/>
      </w:tblGrid>
      <w:tr>
        <w:trPr/>
        <w:tc>
          <w:tcPr>
            <w:tcW w:w="113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31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20,711</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58,795</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54,727 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(18,275)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(51,835)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2,436</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6,960</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2,443</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6,985</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0" w:type="dxa"/>
            <w:gridSpan w:val="3"/>
            <w:tcBorders/>
            <w:vAlign w:val="center"/>
          </w:tcPr>
          <w:p>
            <w:pPr>
              <w:pStyle w:val="TableContents"/>
              <w:bidi w:val="0"/>
              <w:spacing w:before="0" w:after="283"/>
              <w:jc w:val="left"/>
              <w:rPr>
                <w:sz w:val="4"/>
                <w:szCs w:val="4"/>
              </w:rPr>
            </w:pPr>
            <w:r>
              <w:rPr>
                <w:sz w:val="4"/>
                <w:szCs w:val="4"/>
              </w:rPr>
            </w:r>
          </w:p>
        </w:tc>
      </w:tr>
      <w:tr>
        <w:trPr/>
        <w:tc>
          <w:tcPr>
            <w:tcW w:w="3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0" w:type="dxa"/>
            <w:gridSpan w:val="3"/>
            <w:tcBorders/>
            <w:vAlign w:val="center"/>
          </w:tcPr>
          <w:p>
            <w:pPr>
              <w:pStyle w:val="TableContents"/>
              <w:bidi w:val="0"/>
              <w:spacing w:before="0" w:after="283"/>
              <w:jc w:val="left"/>
              <w:rPr>
                <w:sz w:val="4"/>
                <w:szCs w:val="4"/>
              </w:rPr>
            </w:pPr>
            <w:r>
              <w:rPr>
                <w:sz w:val="4"/>
                <w:szCs w:val="4"/>
              </w:rPr>
            </w:r>
          </w:p>
        </w:tc>
      </w:tr>
      <w:tr>
        <w:trPr/>
        <w:tc>
          <w:tcPr>
            <w:tcW w:w="3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Non-service FAS pension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2,172</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6,124</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0" w:type="dxa"/>
            <w:gridSpan w:val="3"/>
            <w:tcBorders/>
            <w:vAlign w:val="center"/>
          </w:tcPr>
          <w:p>
            <w:pPr>
              <w:pStyle w:val="TableContents"/>
              <w:bidi w:val="0"/>
              <w:spacing w:before="0" w:after="283"/>
              <w:jc w:val="left"/>
              <w:rPr>
                <w:sz w:val="4"/>
                <w:szCs w:val="4"/>
              </w:rPr>
            </w:pPr>
            <w:r>
              <w:rPr>
                <w:sz w:val="4"/>
                <w:szCs w:val="4"/>
              </w:rPr>
            </w:r>
          </w:p>
        </w:tc>
      </w:tr>
      <w:tr>
        <w:trPr/>
        <w:tc>
          <w:tcPr>
            <w:tcW w:w="3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0" w:type="dxa"/>
            <w:gridSpan w:val="3"/>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1,845</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5,169</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common share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7.97</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22.36</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0" w:type="dxa"/>
            <w:gridSpan w:val="3"/>
            <w:tcBorders/>
            <w:vAlign w:val="center"/>
          </w:tcPr>
          <w:p>
            <w:pPr>
              <w:pStyle w:val="TableContents"/>
              <w:bidi w:val="0"/>
              <w:spacing w:before="0" w:after="283"/>
              <w:jc w:val="left"/>
              <w:rPr>
                <w:sz w:val="4"/>
                <w:szCs w:val="4"/>
              </w:rPr>
            </w:pPr>
            <w:r>
              <w:rPr>
                <w:sz w:val="4"/>
                <w:szCs w:val="4"/>
              </w:rPr>
            </w:r>
          </w:p>
        </w:tc>
      </w:tr>
      <w:tr>
        <w:trPr/>
        <w:tc>
          <w:tcPr>
            <w:tcW w:w="3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0" w:type="dxa"/>
            <w:gridSpan w:val="3"/>
            <w:tcBorders/>
            <w:vAlign w:val="center"/>
          </w:tcPr>
          <w:p>
            <w:pPr>
              <w:pStyle w:val="TableContents"/>
              <w:bidi w:val="0"/>
              <w:spacing w:before="0" w:after="283"/>
              <w:jc w:val="left"/>
              <w:rPr>
                <w:sz w:val="4"/>
                <w:szCs w:val="4"/>
              </w:rPr>
            </w:pPr>
            <w:r>
              <w:rPr>
                <w:sz w:val="4"/>
                <w:szCs w:val="4"/>
              </w:rPr>
            </w:r>
          </w:p>
        </w:tc>
      </w:tr>
      <w:tr>
        <w:trPr/>
        <w:tc>
          <w:tcPr>
            <w:tcW w:w="3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0" w:type="dxa"/>
            <w:gridSpan w:val="3"/>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Certain amounts reported in other income, net, including our share of earnings or losses from equity method investees, are included in the operating profit of our business segments. Accordingly, such amounts are included in the discussion of our business segment results of operations. </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Sales and Operating Costs and Expenses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We generate sales from the delivery of products and services to our customers. Substantially all of our contracts are accounted for using the percentage-of-completion cost-to-cost method. Under the percentage-of-completion cost-to-cost method, we record sales on contracts over time based upon our progress towards completion on a particular contract, generally using a cost-to-cost measure, as well as our estimate of the profit to be earned at completion.</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Arial;sans-serif" w:hAnsi="Arial;sans-serif"/>
          <w:b w:val="false"/>
          <w:color w:val="000000"/>
          <w:sz w:val="20"/>
        </w:rPr>
      </w:pPr>
      <w:r>
        <w:rPr>
          <w:rFonts w:ascii="Arial;sans-serif" w:hAnsi="Arial;sans-serif"/>
          <w:b w:val="false"/>
          <w:color w:val="000000"/>
          <w:sz w:val="20"/>
        </w:rPr>
        <w:t xml:space="preserve">Operating costs and expenses, for both products and services, consist of materials, labor, subcontracting costs and an allocation of indirect costs (overhead and general and administrative), as well as the costs to fulfill our industrial cooperation agreements, sometimes referred to as offset agreements, required under certain contracts with international customers. For each of our contracts, we monitor the nature and amount of costs at the contract level, which form the basis for estimating our total costs to complete the contract. </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Arial;sans-serif" w:hAnsi="Arial;sans-serif"/>
          <w:b w:val="false"/>
          <w:color w:val="000000"/>
          <w:sz w:val="20"/>
        </w:rPr>
      </w:pPr>
      <w:r>
        <w:rPr>
          <w:rFonts w:ascii="Arial;sans-serif" w:hAnsi="Arial;sans-serif"/>
          <w:b w:val="false"/>
          <w:color w:val="000000"/>
          <w:sz w:val="20"/>
        </w:rPr>
        <w:t>Except for potential impacts to our programs resulting from supply chain disruptions, inflation, and tariffs, we have not identified any additional developing trends in operating costs and expenses for products and services that could have a material impact on our future operations.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Our consolidated sales and operating costs and expenses were as follows (in millions):</w:t>
      </w:r>
    </w:p>
    <w:tbl>
      <w:tblPr>
        <w:tblW w:w="10205" w:type="dxa"/>
        <w:jc w:val="left"/>
        <w:tblInd w:w="0" w:type="dxa"/>
        <w:tblLayout w:type="fixed"/>
        <w:tblCellMar>
          <w:top w:w="28" w:type="dxa"/>
          <w:left w:w="28" w:type="dxa"/>
          <w:bottom w:w="28" w:type="dxa"/>
          <w:right w:w="28" w:type="dxa"/>
        </w:tblCellMar>
      </w:tblPr>
      <w:tblGrid>
        <w:gridCol w:w="1072"/>
        <w:gridCol w:w="906"/>
        <w:gridCol w:w="911"/>
        <w:gridCol w:w="109"/>
        <w:gridCol w:w="109"/>
        <w:gridCol w:w="109"/>
        <w:gridCol w:w="228"/>
        <w:gridCol w:w="869"/>
        <w:gridCol w:w="310"/>
        <w:gridCol w:w="109"/>
        <w:gridCol w:w="109"/>
        <w:gridCol w:w="109"/>
        <w:gridCol w:w="228"/>
        <w:gridCol w:w="869"/>
        <w:gridCol w:w="310"/>
        <w:gridCol w:w="109"/>
        <w:gridCol w:w="109"/>
        <w:gridCol w:w="109"/>
        <w:gridCol w:w="228"/>
        <w:gridCol w:w="869"/>
        <w:gridCol w:w="310"/>
        <w:gridCol w:w="109"/>
        <w:gridCol w:w="109"/>
        <w:gridCol w:w="109"/>
        <w:gridCol w:w="228"/>
        <w:gridCol w:w="869"/>
        <w:gridCol w:w="310"/>
        <w:gridCol w:w="109"/>
        <w:gridCol w:w="109"/>
        <w:gridCol w:w="162"/>
      </w:tblGrid>
      <w:tr>
        <w:trPr/>
        <w:tc>
          <w:tcPr>
            <w:tcW w:w="107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17,429</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49,043</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45,396 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total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84.2</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83.4</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3,282</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9,752</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total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15.8</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20,711</w:t>
            </w:r>
            <w:r>
              <w:rPr>
                <w:color w:val="000000"/>
              </w:rPr>
              <w:t>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18,609 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58,795</w:t>
            </w:r>
            <w:r>
              <w:rPr>
                <w:color w:val="000000"/>
              </w:rPr>
              <w:t>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54,727 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Operating costs and expenses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(15,609)</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(44,070)</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(41,461)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89.6</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89.9</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(2,882)</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(8,528)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of service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87.8</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87.4</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unallocated,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763</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(18,275)</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(16,369)</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(51,835)</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(49,430)</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Product Sales and Costs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Product sales increased $2.1 billion, or 14%, during the quarter ended September 27, 2026, compared to the same period in 2025. This increase was due to higher product sales of approximately $865 million at MFC (production ramp-up on Patriot Advanced Capability-3 (PAC-3), Terminal High Altitude Area Defense (THAAD), Guided Multiple Launch Rocket Systems (GMLRS) and Precision Strike Missile (PrSM) programs); $845 million at Aeronautics (higher volume on F-35 and C-130 production contracts); $225 million at Space (higher volume on Fleet Ballistic Missile (FBM) and Next Generation Interceptor (NGI), partially offset by program lifecycle on the OPIR mission) and $185 million at RMS (higher volume on radar programs).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Product costs increased $1.9 billion, or 14%, during the quarter ended September 27, 2026, compared to the same period in 2025. This increase was due to higher product costs of approximately $805 million at Aeronautics, $750 million at MFC, $200 million at Space and $145 million at RMS. Product costs for all four business segments reflect the production ramp-up and higher volume as described above in “Product Sales”. </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Product sales during the nine months ended September 27, 2026 increased $3.6 billion, or 8%, compared to the same period in 2025. This increase was due to higher product sales of approximately $1.8 billion at MFC (production ramp-up on PAC-3, THAAD, GMLRS and PrSM programs); $1.3 billion at Aeronautics (higher volume on F-35 production contracts); and $545 million at Space (higher volume on FBM and NGI programs).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Product costs during the nine months ended September 27, 2026 increased $2.6 billion, or 6%, compared to the same period in 2025. This increase was due to higher product costs of approximately of $1.5 billion at MFC and $600 million at Space and $425 million at Aeronautics. Higher product costs reflect the production ramp-up and higher volume as described above in “Product Sales”, partially offset by the sales impact of the 2025 reach-forward loss on a classified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Service Sales and Costs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Service sales and service costs during the quarter ended September 27, 2026 were comparable to the same period in 2025.</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Service sales during the nine months ended September 27, 2026 increased $421 million, or 5%, compared to the same period in 2025. The increase was primarily attributable to higher service sales of approximately $295 million at Aeronautics (higher volume on the F-35 sustainment contracts) and $115 million at RMS (sales impact of the 2025 reach-forward loss on CMHP).</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Service costs during the nine months ended September 27, 2026 decreased $113 million, or 1%, compared to the same period in 2025. The decrease was primarily attributable to lower service costs of $485 million at RMS, partially offset by higher service costs of approximately $305 million at Aeronautics as described above in “Service Sales”.</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Impairment and Other Charges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During the nine months ended September 28, 2025, we recorded charges totaling $66 million ($52 million, or $0.22 per share, after-tax) primarily for the write-off of fixed assets resulting from the U.S. Air Force’s Next Generation Air Dominance (NGAD) competition and down-select decision.</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Other Unallocated, Net</w:t>
      </w:r>
    </w:p>
    <w:p>
      <w:pPr>
        <w:pStyle w:val="TextBody"/>
        <w:bidi w:val="0"/>
        <w:spacing w:lineRule="auto" w:line="288"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Other unallocated, net primarily includes the FAS/CAS pension operating adjustment (which represents the difference between total CAS pension cost recorded in our business segments’ results of operations and the service cost component of FAS pension expense), stock-based compensation expense, changes in the fair value of assets and liabilities for deferred compensation plans, intangible asset amortization expense, and other miscellaneous corporate activities. Other unallocated, net reduced operating expenses were $216 million and $763 million during the quarter and nine months ended September 27, 2026, compared to $210 million and $738 million during the quarter and nine months ended September 28, 2025. The fluctuations in other unallocated, net were primarily due to changes in fair value of net assets and liabilities for deferred compensation plans and costs associated with various corporate items, none of which were individually significant.</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Other Income, Net</w:t>
      </w:r>
    </w:p>
    <w:p>
      <w:pPr>
        <w:pStyle w:val="TextBody"/>
        <w:bidi w:val="0"/>
        <w:spacing w:lineRule="auto" w:line="288"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Other income, net was $7 million and $25 million during the quarter and nine months ended September 27, 2026, compared to $40 million and $103 million during the quarter and nine months ended September 28, 2025. Other income, net, primarily includes earnings generated by equity method investees, as well as gains or losses for acquisitions, divestitures, and other items, none of which are individually significant for the nine months ended September 27, 2026. Other income, net for the nine months ended September 28, 2025 included an intellectual property license arrangement and the Commercial Engine Solutions divestiture net working capital true-up.</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Non-service FAS Pension Expense</w:t>
      </w:r>
    </w:p>
    <w:p>
      <w:pPr>
        <w:pStyle w:val="TextBody"/>
        <w:bidi w:val="0"/>
        <w:spacing w:before="0" w:after="0"/>
        <w:jc w:val="both"/>
        <w:rPr/>
      </w:pPr>
      <w:r>
        <w:rPr/>
      </w:r>
    </w:p>
    <w:p>
      <w:pPr>
        <w:pStyle w:val="TextBody"/>
        <w:bidi w:val="0"/>
        <w:spacing w:lineRule="auto" w:line="26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Non-service FAS pension expense was $81 million and $241 million during the quarter and nine months ended September 27, 2026, compared to $99 million and $296 million during the quarter and nine months ended September 28, 2025. See “Note 9 - Retirement Benefits” included in our Notes to Consolidated Financial Statements for additional information.</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Other Non-operating Income, net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Arial;sans-serif" w:hAnsi="Arial;sans-serif"/>
          <w:b w:val="false"/>
          <w:color w:val="000000"/>
          <w:sz w:val="20"/>
        </w:rPr>
      </w:pPr>
      <w:r>
        <w:rPr>
          <w:rFonts w:ascii="Arial;sans-serif" w:hAnsi="Arial;sans-serif"/>
          <w:b w:val="false"/>
          <w:color w:val="000000"/>
          <w:sz w:val="20"/>
        </w:rPr>
        <w:t>Other non-operating income, net primarily includes gains or losses related to adjustments in valuation of early-stage company investments or gains or losses upon the sale of these investments and interest income earned on cash and cash equivalents. Other non-operating income, net was $74 million and $179 million during the quarter and nine months ended September 27, 2026, compared to $43 million and $115 million during the quarter and nine months ended September 28, 2025. See “Note 12 - Fair Value Measurements” included in our Notes to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Income Tax Expense</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Our effective income tax rates were 15.1% and 15.6% for the quarter and nine months ended September 27, 2026 and 16.5% and 16.4% for the quarter and nine months ended September 28, 2025. The decreases were primarily attributable to increased tax deductions for foreign derived deduction eligible income (FDDEI), partially offset by the absence of the favorable resolution of certain federal income tax audit items as compared to the prior year. In addition, the rates for all periods benefited from research and development tax credits, dividends paid to our defined contribution plans with an employee stock ownership plan feature and employee equity awards.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Changes in U.S. (federal or state) or foreign tax laws and regulations, or their interpretation and application (including those with retroactive effect), could significantly impact our provision for income taxes, the amount of taxes payable, our deferred tax asset and liability balances, and stockholders’ equity. In addition to future changes in tax laws, the amount of net deferred tax assets will change periodically based on several factors, including the measurement of our retirement benefit obligations, actual cash contributions to our retirement benefit plans and the change in the amount or reevaluation of uncertain tax positions.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July 4, 2025, the President signed into law the One Big Beautiful Bill Act (the Tax Act). Key provisions included the permanent reinstatement of immediate expensing for domestic research expenditures, the restoration of full expensing for qualified machinery, equipment and other short-lived assets, and several modifications to existing corporate alternative minimum tax (CAMT) and international tax provisions. On February 18, 2026, the U.S. Department of Treasury issued Notice 2026-7 (the Notice) providing additional interim guidance regarding the application of the CAMT. As a result of the Tax Act and the Notice, we are no longer subject to CAMT this year and expect to make reduced federal income tax payments for 2026.</w:t>
      </w:r>
    </w:p>
    <w:p>
      <w:pPr>
        <w:pStyle w:val="TextBody"/>
        <w:bidi w:val="0"/>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We are regularly under audit or examination by tax authorities, including U.S. and foreign tax authorities (Australia, Canada, India, Italy, Japan, Poland, the United Kingdom, and other countries). The final resolution of tax audits and any related administrative reviews or litigation could result in unanticipated increases in our tax expense and changes to the timing of tax payments, which could affect profitability and cash flows for any particular reporting period. These increases or changes could have a material impact on financial condition and results of operations in such period.</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Net Earnings</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We reported net earnings of $1.8 billion ($7.97 per share) and $5.2 billion ($22.36 per share) during the quarter and nine months ended September 27, 2026 and $1.6 billion ($6.95 per share) and $3.7 billion ($15.69 per share) during the quarter and nine months ended September 28, 2025. Net earnings and earnings per share for the quarter and nine months ended September 27, 2026 were affected by the factors mentioned above. Earnings per share also benefited from a net decrease of approximately 1.3 million and 2.9 million weighted average common shares outstanding during the quarter and nine months ended September 27, 2026, compared to the same periods in 2025. The reduction in weighted average common shares was a result of share repurchases in the second half of 2025, but none during the quarter and nine months ended September 27, 2026, partially offset by share issuances under our stock-based awards and certain defined contribution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BUSINESS SEGMENT RESULTS OF OPERATIONS</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Our operations are organized into four business segments, which also comprise our reportable segments: Aeronautics, Missiles and Fire Control (MFC), Rotary and Mission Systems (RMS) and Space. We generally organize our business segments based on the nature of products and services offered.</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 xml:space="preserve">Business segment operating profit excludes the FAS/CAS pension operating adjustment,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See “Note 4 - Information on Business Segments – Unallocated Items” included in our Notes to Consolidated Financial Statements for additional information. </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Sales and operating profit for each of our business segments were as follows (in millions):</w:t>
      </w:r>
    </w:p>
    <w:tbl>
      <w:tblPr>
        <w:tblW w:w="10205" w:type="dxa"/>
        <w:jc w:val="left"/>
        <w:tblInd w:w="0" w:type="dxa"/>
        <w:tblLayout w:type="fixed"/>
        <w:tblCellMar>
          <w:top w:w="28" w:type="dxa"/>
          <w:left w:w="28" w:type="dxa"/>
          <w:bottom w:w="28" w:type="dxa"/>
          <w:right w:w="28" w:type="dxa"/>
        </w:tblCellMar>
      </w:tblPr>
      <w:tblGrid>
        <w:gridCol w:w="1136"/>
        <w:gridCol w:w="991"/>
        <w:gridCol w:w="999"/>
        <w:gridCol w:w="109"/>
        <w:gridCol w:w="109"/>
        <w:gridCol w:w="109"/>
        <w:gridCol w:w="215"/>
        <w:gridCol w:w="769"/>
        <w:gridCol w:w="111"/>
        <w:gridCol w:w="111"/>
        <w:gridCol w:w="111"/>
        <w:gridCol w:w="111"/>
        <w:gridCol w:w="109"/>
        <w:gridCol w:w="109"/>
        <w:gridCol w:w="109"/>
        <w:gridCol w:w="215"/>
        <w:gridCol w:w="769"/>
        <w:gridCol w:w="111"/>
        <w:gridCol w:w="111"/>
        <w:gridCol w:w="111"/>
        <w:gridCol w:w="111"/>
        <w:gridCol w:w="109"/>
        <w:gridCol w:w="109"/>
        <w:gridCol w:w="109"/>
        <w:gridCol w:w="215"/>
        <w:gridCol w:w="769"/>
        <w:gridCol w:w="111"/>
        <w:gridCol w:w="111"/>
        <w:gridCol w:w="111"/>
        <w:gridCol w:w="111"/>
        <w:gridCol w:w="109"/>
        <w:gridCol w:w="109"/>
        <w:gridCol w:w="109"/>
        <w:gridCol w:w="215"/>
        <w:gridCol w:w="768"/>
        <w:gridCol w:w="111"/>
        <w:gridCol w:w="111"/>
        <w:gridCol w:w="111"/>
        <w:gridCol w:w="171"/>
      </w:tblGrid>
      <w:tr>
        <w:trPr/>
        <w:tc>
          <w:tcPr>
            <w:tcW w:w="113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3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12"/>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8,214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23,279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4,501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12,251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12,856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10,409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20,711</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58,795</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54,727 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Operating profit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Rotary and Mission Systems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business segment operating 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2,229</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6,214</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items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FAS/CAS pension operating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unallocated items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214</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771</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consolidated operating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2,443</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6,985</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Management evaluates performance on our contracts by focusing on sales and operating profit and not by type or amount of operating expense. Consequently, our discussion of business segment performance focuses on sales and operating profit, consistent with our approach for managing the business. This approach is consistent throughout the life cycle of our contracts, as management assesses the bidding of each contract by focusing on sales and operating profit and monitors performance on our contracts in a similar manner through their completion. This method and assumptions used to evaluate contracts and recognize revenue, including the use of percentage-of-completion accounting for contracts with continuous transfer of control to the customer, are consistent with those described in our 2025 Form 10-K under “Management’s Discussion and Analysis of Financial Condition and Results of Operations”. Additionally, for updates related to fixed-price contracts, see “Note 2 - Significant Accounting Policies” included in our Notes to Consolidated Financial Statements.</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Changes in sales and operating profit generally are expressed in terms of volume, contract mix, and/or performance (referred to as profit booking rate adjustments). Changes in volume refer to increases or decreases in sales or operating profit resulting from varying production activity levels, deliveries or service levels on individual contracts. Volume changes in segment operating profit are typically based on the current profit booking rate for a particular contract. Contract mix primarily refers to changes in the ratio of contract type or life cycle (e.g., cost-type, fixed-price, development, production and/or sustainment) and other cost recoveries.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Comparability of our segment sales, operating profit and operating margin may be impacted favorably or unfavorably by changes in profit booking rates on our contracts, see “Note 2 - Significant Accounting Policies” included in our Notes to Consolidated Financial Statements.</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presents the effect of our consolidated net profit booking rate adjustments on segment operating profit (in millions):</w:t>
      </w:r>
    </w:p>
    <w:tbl>
      <w:tblPr>
        <w:tblW w:w="10205" w:type="dxa"/>
        <w:jc w:val="left"/>
        <w:tblInd w:w="0" w:type="dxa"/>
        <w:tblLayout w:type="fixed"/>
        <w:tblCellMar>
          <w:top w:w="28" w:type="dxa"/>
          <w:left w:w="28" w:type="dxa"/>
          <w:bottom w:w="28" w:type="dxa"/>
          <w:right w:w="28" w:type="dxa"/>
        </w:tblCellMar>
      </w:tblPr>
      <w:tblGrid>
        <w:gridCol w:w="1258"/>
        <w:gridCol w:w="1098"/>
        <w:gridCol w:w="1102"/>
        <w:gridCol w:w="109"/>
        <w:gridCol w:w="109"/>
        <w:gridCol w:w="109"/>
        <w:gridCol w:w="252"/>
        <w:gridCol w:w="575"/>
        <w:gridCol w:w="130"/>
        <w:gridCol w:w="130"/>
        <w:gridCol w:w="130"/>
        <w:gridCol w:w="130"/>
        <w:gridCol w:w="109"/>
        <w:gridCol w:w="109"/>
        <w:gridCol w:w="109"/>
        <w:gridCol w:w="252"/>
        <w:gridCol w:w="575"/>
        <w:gridCol w:w="130"/>
        <w:gridCol w:w="130"/>
        <w:gridCol w:w="130"/>
        <w:gridCol w:w="130"/>
        <w:gridCol w:w="109"/>
        <w:gridCol w:w="109"/>
        <w:gridCol w:w="109"/>
        <w:gridCol w:w="252"/>
        <w:gridCol w:w="575"/>
        <w:gridCol w:w="130"/>
        <w:gridCol w:w="130"/>
        <w:gridCol w:w="130"/>
        <w:gridCol w:w="130"/>
        <w:gridCol w:w="109"/>
        <w:gridCol w:w="109"/>
        <w:gridCol w:w="109"/>
        <w:gridCol w:w="241"/>
        <w:gridCol w:w="602"/>
        <w:gridCol w:w="124"/>
        <w:gridCol w:w="124"/>
        <w:gridCol w:w="124"/>
        <w:gridCol w:w="183"/>
      </w:tblGrid>
      <w:tr>
        <w:trPr/>
        <w:tc>
          <w:tcPr>
            <w:tcW w:w="125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3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3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adjustments to segment operating profit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7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375</w:t>
            </w:r>
            <w:r>
              <w:rPr>
                <w:color w:val="000000"/>
              </w:rPr>
              <w:t> </w:t>
            </w:r>
          </w:p>
        </w:tc>
        <w:tc>
          <w:tcPr>
            <w:tcW w:w="1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7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965</w:t>
            </w:r>
            <w:r>
              <w:rPr>
                <w:color w:val="000000"/>
              </w:rPr>
              <w:t> </w:t>
            </w:r>
          </w:p>
        </w:tc>
        <w:tc>
          <w:tcPr>
            <w:tcW w:w="13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2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 xml:space="preserve">During the nine months ended September 27, 2026, we recorded unfavorable profit adjustments of $170 million on the F-16 program at Aeronautics as a result of production performance and development delays, $175 million on the C-130 program at Aeronautics as a result of continued diminishing manufacturing source integration challenges and associated delivery delays, $125 million on the Heavy Lift program at RMS as a result of production performance, and $95 million on the Seahawk program at RMS as a result of production performance and schedule delays. During the nine months ended September 28, 2025, we recorded losses of $950 million on an ongoing classified program at Aeronautics, and $570 million on Canadian Maritime Helicopter Program (CMHP) and $95 million on Türkish Utility Helicopter Program (TUHP) at RMS and $105 million of unfavorable profit adjustments on the C-130 program at our Aeronautics business segment. In addition to the losses and unfavorable profit adjustments above, during the nine months ended September 28, 2025 we also recorded $130 million of favorable adjustments upon completion on certain commercial civil space programs at Space and $80 million favorable adjustments upon completion of a classified program at Aeronautics. </w:t>
      </w:r>
    </w:p>
    <w:p>
      <w:pPr>
        <w:pStyle w:val="TextBody"/>
        <w:bidi w:val="0"/>
        <w:spacing w:lineRule="auto" w:line="288" w:before="200" w:after="200"/>
        <w:ind w:left="0" w:right="0" w:firstLine="495"/>
        <w:jc w:val="both"/>
        <w:rPr>
          <w:rFonts w:ascii="Arial;sans-serif" w:hAnsi="Arial;sans-serif"/>
          <w:b w:val="false"/>
          <w:color w:val="000000"/>
          <w:sz w:val="20"/>
        </w:rPr>
      </w:pPr>
      <w:r>
        <w:rPr>
          <w:rFonts w:ascii="Arial;sans-serif" w:hAnsi="Arial;sans-serif"/>
          <w:b w:val="false"/>
          <w:color w:val="000000"/>
          <w:sz w:val="20"/>
        </w:rPr>
        <w:t>There are certain programs where there is a risk of additional losses, including Aeronautics, MFC and RMS business segments. For further discussion regarding the losses recognized on these programs, including factors that could contribute to potential future losses, see “Note 2 - Significant Accounting Policies” included in our Notes to Consolidated Financial Statements.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Aeronautics</w:t>
      </w:r>
    </w:p>
    <w:p>
      <w:pPr>
        <w:pStyle w:val="TextBody"/>
        <w:bidi w:val="0"/>
        <w:spacing w:lineRule="auto" w:line="268" w:before="200" w:after="283"/>
        <w:ind w:left="0" w:right="0" w:firstLine="495"/>
        <w:jc w:val="left"/>
        <w:rPr/>
      </w:pPr>
      <w:r>
        <w:rPr>
          <w:rFonts w:ascii="Arial;sans-serif" w:hAnsi="Arial;sans-serif"/>
          <w:b w:val="false"/>
          <w:color w:val="000000"/>
          <w:sz w:val="20"/>
          <w:shd w:fill="FFFFFF" w:val="clear"/>
        </w:rPr>
        <w:t>Summary</w:t>
      </w:r>
      <w:r>
        <w:rPr>
          <w:color w:val="000000"/>
        </w:rPr>
        <w:t xml:space="preserve"> </w:t>
      </w:r>
      <w:r>
        <w:rPr>
          <w:rFonts w:ascii="Arial;sans-serif" w:hAnsi="Arial;sans-serif"/>
          <w:b w:val="false"/>
          <w:color w:val="000000"/>
          <w:sz w:val="20"/>
        </w:rPr>
        <w:t>operating results for our Aeronautics business segment were as follows (in millions):</w:t>
      </w:r>
    </w:p>
    <w:tbl>
      <w:tblPr>
        <w:tblW w:w="9047" w:type="dxa"/>
        <w:jc w:val="left"/>
        <w:tblInd w:w="0" w:type="dxa"/>
        <w:tblLayout w:type="fixed"/>
        <w:tblCellMar>
          <w:top w:w="28" w:type="dxa"/>
          <w:left w:w="28" w:type="dxa"/>
          <w:bottom w:w="28" w:type="dxa"/>
          <w:right w:w="28" w:type="dxa"/>
        </w:tblCellMar>
      </w:tblPr>
      <w:tblGrid>
        <w:gridCol w:w="579"/>
        <w:gridCol w:w="509"/>
        <w:gridCol w:w="516"/>
        <w:gridCol w:w="109"/>
        <w:gridCol w:w="109"/>
        <w:gridCol w:w="109"/>
        <w:gridCol w:w="211"/>
        <w:gridCol w:w="646"/>
        <w:gridCol w:w="286"/>
        <w:gridCol w:w="109"/>
        <w:gridCol w:w="109"/>
        <w:gridCol w:w="109"/>
        <w:gridCol w:w="109"/>
        <w:gridCol w:w="109"/>
        <w:gridCol w:w="109"/>
        <w:gridCol w:w="211"/>
        <w:gridCol w:w="646"/>
        <w:gridCol w:w="286"/>
        <w:gridCol w:w="109"/>
        <w:gridCol w:w="109"/>
        <w:gridCol w:w="109"/>
        <w:gridCol w:w="109"/>
        <w:gridCol w:w="109"/>
        <w:gridCol w:w="109"/>
        <w:gridCol w:w="211"/>
        <w:gridCol w:w="751"/>
        <w:gridCol w:w="286"/>
        <w:gridCol w:w="109"/>
        <w:gridCol w:w="109"/>
        <w:gridCol w:w="109"/>
        <w:gridCol w:w="109"/>
        <w:gridCol w:w="109"/>
        <w:gridCol w:w="109"/>
        <w:gridCol w:w="211"/>
        <w:gridCol w:w="751"/>
        <w:gridCol w:w="286"/>
        <w:gridCol w:w="109"/>
        <w:gridCol w:w="109"/>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8,214</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23,279</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00"/>
        <w:ind w:left="0" w:right="0" w:firstLine="495"/>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Aeronautics’ sales during the quarter ended September 27, 2026 increased $958 million, or 13%, compared to the same period in 2025. The increase was primarily due to higher sales of $710 million on the F</w:t>
        <w:noBreakHyphen/>
        <w:t>35 program as a result of higher volume on production and sustainment contracts and $270 million on the C-130 program due to the liquidation of pre-contract costs incurred in anticipation of a contract award in the third quarter of 2026. These increases were partially offset by lower sales of $130 million on the F-16 program due to lower production volume and the sales impact of unfavorable profit adjustments recognized.</w:t>
      </w:r>
    </w:p>
    <w:p>
      <w:pPr>
        <w:pStyle w:val="TextBody"/>
        <w:bidi w:val="0"/>
        <w:spacing w:lineRule="auto" w:line="268" w:before="200" w:after="200"/>
        <w:ind w:left="0" w:right="0" w:firstLine="495"/>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Aeronautics’ operating profit during the quarter ended September 27, 2026 increased $61 million, or 9%, compared to the same period in 2025. The increase was primarily attributable to the higher sales volume previously described, partially offset by higher unfavorable profit adjustments of $40 million on the F-16 program and $40 million on the C-130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68" w:before="200" w:after="283"/>
        <w:ind w:left="0" w:right="0" w:firstLine="495"/>
        <w:jc w:val="both"/>
        <w:rPr/>
      </w:pPr>
      <w:r>
        <w:rPr>
          <w:rFonts w:ascii="Arial;sans-serif" w:hAnsi="Arial;sans-serif"/>
          <w:b w:val="false"/>
          <w:color w:val="000000"/>
          <w:sz w:val="20"/>
          <w:shd w:fill="FFFFFF" w:val="clear"/>
        </w:rPr>
        <w:t xml:space="preserve">Aeronautics’ sales during the nine months ended September 27, 2026 increased </w:t>
      </w:r>
      <w:r>
        <w:rPr>
          <w:rFonts w:ascii="Arial;sans-serif" w:hAnsi="Arial;sans-serif"/>
          <w:b w:val="false"/>
          <w:color w:val="000000"/>
          <w:sz w:val="20"/>
        </w:rPr>
        <w:t>$1.5 billion</w:t>
      </w:r>
      <w:r>
        <w:rPr>
          <w:rFonts w:ascii="Arial;sans-serif" w:hAnsi="Arial;sans-serif"/>
          <w:b w:val="false"/>
          <w:color w:val="000000"/>
          <w:sz w:val="20"/>
          <w:shd w:fill="FFFFFF" w:val="clear"/>
        </w:rPr>
        <w:t>, or 7%, compared to the same period in 2025. The increase was primarily due to higher sales of $1.5 billion on the F</w:t>
        <w:noBreakHyphen/>
        <w:t>35 program as a result of higher volume on production and sustainment contracts and $200 million on the F-22 program due to higher volume. These increases were partially offset by lower sales of $360 million on the F-16 program due to the sales impact of $165 million of unfavorable profit adjustments recognized in 2026 and lower production volume. Sales for classified programs were comparable as the impact of lower volume during the nine months of 2026 was mostly offset by the reach-forward loss recognized on a classified contract in 2025.</w:t>
      </w:r>
    </w:p>
    <w:p>
      <w:pPr>
        <w:pStyle w:val="TextBody"/>
        <w:bidi w:val="0"/>
        <w:spacing w:lineRule="auto" w:line="268" w:before="200" w:after="283"/>
        <w:ind w:left="0" w:right="0" w:firstLine="495"/>
        <w:jc w:val="both"/>
        <w:rPr/>
      </w:pPr>
      <w:r>
        <w:rPr>
          <w:rFonts w:ascii="Arial;sans-serif" w:hAnsi="Arial;sans-serif"/>
          <w:b w:val="false"/>
          <w:color w:val="000000"/>
          <w:sz w:val="20"/>
          <w:shd w:fill="FFFFFF" w:val="clear"/>
        </w:rPr>
        <w:t>A</w:t>
      </w:r>
      <w:r>
        <w:rPr>
          <w:rFonts w:ascii="Arial;sans-serif" w:hAnsi="Arial;sans-serif"/>
          <w:b w:val="false"/>
          <w:color w:val="000000"/>
          <w:sz w:val="20"/>
        </w:rPr>
        <w:t>eronautics</w:t>
      </w:r>
      <w:r>
        <w:rPr>
          <w:color w:val="000000"/>
          <w:shd w:fill="FFFFFF" w:val="clear"/>
        </w:rPr>
        <w:t xml:space="preserve">’ </w:t>
      </w:r>
      <w:r>
        <w:rPr>
          <w:rFonts w:ascii="Arial;sans-serif" w:hAnsi="Arial;sans-serif"/>
          <w:b w:val="false"/>
          <w:color w:val="000000"/>
          <w:sz w:val="20"/>
          <w:shd w:fill="FFFFFF" w:val="clear"/>
        </w:rPr>
        <w:t xml:space="preserve">operating profit during the nine months ended September 27, 2026 increased $818 million, or </w:t>
      </w:r>
      <w:r>
        <w:rPr>
          <w:rFonts w:ascii="Arial;sans-serif" w:hAnsi="Arial;sans-serif"/>
          <w:b w:val="false"/>
          <w:color w:val="000000"/>
          <w:sz w:val="20"/>
        </w:rPr>
        <w:t>63%,</w:t>
      </w:r>
      <w:r>
        <w:rPr>
          <w:color w:val="000000"/>
          <w:shd w:fill="FFFFFF" w:val="clear"/>
        </w:rPr>
        <w:t xml:space="preserve"> </w:t>
      </w:r>
      <w:r>
        <w:rPr>
          <w:rFonts w:ascii="Arial;sans-serif" w:hAnsi="Arial;sans-serif"/>
          <w:b w:val="false"/>
          <w:color w:val="000000"/>
          <w:sz w:val="20"/>
          <w:shd w:fill="FFFFFF" w:val="clear"/>
        </w:rPr>
        <w:t>compared to the same period in 2025. The increase was primarily attributable to the $950 million reach-forward loss recognized on a classified contract in 2025 and the higher sales volume previously described; partially offset by higher unfavorable profit adjustments of $165 million on the F-16 program and $70 million on the C-130 program.</w:t>
      </w:r>
    </w:p>
    <w:p>
      <w:pPr>
        <w:pStyle w:val="TextBody"/>
        <w:bidi w:val="0"/>
        <w:spacing w:lineRule="auto" w:line="268" w:before="200" w:after="283"/>
        <w:ind w:left="0" w:right="0" w:firstLine="495"/>
        <w:jc w:val="both"/>
        <w:rPr/>
      </w:pPr>
      <w:r>
        <w:rPr>
          <w:rFonts w:ascii="Arial;sans-serif" w:hAnsi="Arial;sans-serif"/>
          <w:b w:val="false"/>
          <w:color w:val="000000"/>
          <w:sz w:val="20"/>
        </w:rPr>
        <w:t xml:space="preserve">Additionally, </w:t>
      </w:r>
      <w:r>
        <w:rPr>
          <w:rFonts w:ascii="Arial;sans-serif" w:hAnsi="Arial;sans-serif"/>
          <w:b w:val="false"/>
          <w:color w:val="000000"/>
          <w:sz w:val="20"/>
          <w:shd w:fill="FFFFFF" w:val="clear"/>
        </w:rPr>
        <w:t>during the quarter ended September 27, 2026</w:t>
      </w:r>
      <w:r>
        <w:rPr>
          <w:rFonts w:ascii="Arial;sans-serif" w:hAnsi="Arial;sans-serif"/>
          <w:b w:val="false"/>
          <w:color w:val="000000"/>
          <w:sz w:val="20"/>
        </w:rPr>
        <w:t xml:space="preserve">, we delivered 43 F-35 aircraft. Since the program inception through September 27, 2026, we delivered 1,387 production F-35 aircraft, including 989 F-35A variants, 255 F-35B variants and 143 F-35C variants, and our backlog as of that date was 274 aircraft. We remain in negotiations with the U.S. Government on the production contracts for F-35 lots 20 and higher. Our costs incurred began to exceed the current contractual authorization and funding on the Lot 20 advance acquisition contract during the third quarter of 2026. Without additional contractual authorization and funding from the U.S. Government, our results of operations, cash flows, and financial condition will be negatively impacted in future periods. </w:t>
      </w:r>
    </w:p>
    <w:p>
      <w:pPr>
        <w:pStyle w:val="TextBody"/>
        <w:bidi w:val="0"/>
        <w:spacing w:lineRule="auto" w:line="288" w:before="200" w:after="283"/>
        <w:jc w:val="left"/>
        <w:rPr>
          <w:rFonts w:ascii="Arial;sans-serif" w:hAnsi="Arial;sans-serif"/>
          <w:b/>
          <w:color w:val="000000"/>
          <w:sz w:val="20"/>
          <w:shd w:fill="FFFFFF" w:val="clear"/>
        </w:rPr>
      </w:pPr>
      <w:r>
        <w:rPr>
          <w:rFonts w:ascii="Arial;sans-serif" w:hAnsi="Arial;sans-serif"/>
          <w:b/>
          <w:color w:val="000000"/>
          <w:sz w:val="20"/>
          <w:shd w:fill="FFFFFF" w:val="clear"/>
        </w:rPr>
        <w:t>Missiles and Fire Control</w:t>
      </w:r>
    </w:p>
    <w:p>
      <w:pPr>
        <w:pStyle w:val="TextBody"/>
        <w:bidi w:val="0"/>
        <w:spacing w:lineRule="auto" w:line="288" w:before="200" w:after="200"/>
        <w:ind w:left="0" w:right="0" w:firstLine="495"/>
        <w:jc w:val="left"/>
        <w:rPr>
          <w:rFonts w:ascii="Arial;sans-serif" w:hAnsi="Arial;sans-serif"/>
          <w:b w:val="false"/>
          <w:color w:val="000000"/>
          <w:sz w:val="20"/>
        </w:rPr>
      </w:pPr>
      <w:r>
        <w:rPr>
          <w:rFonts w:ascii="Arial;sans-serif" w:hAnsi="Arial;sans-serif"/>
          <w:b w:val="false"/>
          <w:color w:val="000000"/>
          <w:sz w:val="20"/>
        </w:rPr>
        <w:t>Summary operating results for our MFC business segment were as follows (in millions):</w:t>
      </w:r>
    </w:p>
    <w:tbl>
      <w:tblPr>
        <w:tblW w:w="9047" w:type="dxa"/>
        <w:jc w:val="left"/>
        <w:tblInd w:w="0" w:type="dxa"/>
        <w:tblLayout w:type="fixed"/>
        <w:tblCellMar>
          <w:top w:w="28" w:type="dxa"/>
          <w:left w:w="28" w:type="dxa"/>
          <w:bottom w:w="28" w:type="dxa"/>
          <w:right w:w="28" w:type="dxa"/>
        </w:tblCellMar>
      </w:tblPr>
      <w:tblGrid>
        <w:gridCol w:w="579"/>
        <w:gridCol w:w="509"/>
        <w:gridCol w:w="516"/>
        <w:gridCol w:w="109"/>
        <w:gridCol w:w="109"/>
        <w:gridCol w:w="109"/>
        <w:gridCol w:w="211"/>
        <w:gridCol w:w="646"/>
        <w:gridCol w:w="286"/>
        <w:gridCol w:w="109"/>
        <w:gridCol w:w="109"/>
        <w:gridCol w:w="109"/>
        <w:gridCol w:w="109"/>
        <w:gridCol w:w="109"/>
        <w:gridCol w:w="109"/>
        <w:gridCol w:w="211"/>
        <w:gridCol w:w="646"/>
        <w:gridCol w:w="286"/>
        <w:gridCol w:w="109"/>
        <w:gridCol w:w="109"/>
        <w:gridCol w:w="109"/>
        <w:gridCol w:w="109"/>
        <w:gridCol w:w="109"/>
        <w:gridCol w:w="109"/>
        <w:gridCol w:w="211"/>
        <w:gridCol w:w="751"/>
        <w:gridCol w:w="286"/>
        <w:gridCol w:w="109"/>
        <w:gridCol w:w="109"/>
        <w:gridCol w:w="109"/>
        <w:gridCol w:w="109"/>
        <w:gridCol w:w="109"/>
        <w:gridCol w:w="109"/>
        <w:gridCol w:w="211"/>
        <w:gridCol w:w="751"/>
        <w:gridCol w:w="286"/>
        <w:gridCol w:w="109"/>
        <w:gridCol w:w="109"/>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4,501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12,251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14.0</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14.1</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00"/>
        <w:ind w:left="0" w:right="0" w:firstLine="450"/>
        <w:jc w:val="both"/>
        <w:rPr/>
      </w:pPr>
      <w:r>
        <w:rPr>
          <w:rFonts w:ascii="Arial;sans-serif" w:hAnsi="Arial;sans-serif"/>
          <w:b w:val="false"/>
          <w:color w:val="000000"/>
          <w:sz w:val="20"/>
        </w:rPr>
        <w:t xml:space="preserve">MFC’s sales </w:t>
      </w:r>
      <w:r>
        <w:rPr>
          <w:rFonts w:ascii="Arial;sans-serif" w:hAnsi="Arial;sans-serif"/>
          <w:b w:val="false"/>
          <w:color w:val="000000"/>
          <w:sz w:val="20"/>
          <w:shd w:fill="FFFFFF" w:val="clear"/>
        </w:rPr>
        <w:t>during the quarter ended</w:t>
      </w:r>
      <w:r>
        <w:rPr>
          <w:color w:val="000000"/>
        </w:rPr>
        <w:t xml:space="preserve"> </w:t>
      </w:r>
      <w:r>
        <w:rPr>
          <w:rFonts w:ascii="Arial;sans-serif" w:hAnsi="Arial;sans-serif"/>
          <w:b w:val="false"/>
          <w:color w:val="000000"/>
          <w:sz w:val="20"/>
        </w:rPr>
        <w:t xml:space="preserve">September 27, 2026 increased $877 million, or 24%, compared to the same period in 2025. </w:t>
      </w:r>
      <w:r>
        <w:rPr>
          <w:rFonts w:ascii="Arial;sans-serif" w:hAnsi="Arial;sans-serif"/>
          <w:b w:val="false"/>
          <w:color w:val="000000"/>
          <w:sz w:val="20"/>
          <w:shd w:fill="FFFFFF" w:val="clear"/>
        </w:rPr>
        <w:t>The increase was primarily attributable to higher sales of $480 million on integrated air and missile defense programs due to production ramps (PAC-3 and THAAD), and $330 million on tactical and strike missile programs due to production ramps (GMLRS and PrSM).</w:t>
      </w:r>
    </w:p>
    <w:p>
      <w:pPr>
        <w:pStyle w:val="TextBody"/>
        <w:bidi w:val="0"/>
        <w:spacing w:lineRule="auto" w:line="268" w:before="200" w:after="200"/>
        <w:ind w:left="0" w:right="0" w:firstLine="450"/>
        <w:jc w:val="both"/>
        <w:rPr/>
      </w:pPr>
      <w:r>
        <w:rPr>
          <w:rFonts w:ascii="Arial;sans-serif" w:hAnsi="Arial;sans-serif"/>
          <w:b w:val="false"/>
          <w:color w:val="000000"/>
          <w:sz w:val="20"/>
        </w:rPr>
        <w:t xml:space="preserve">MFC’s operating profit </w:t>
      </w:r>
      <w:r>
        <w:rPr>
          <w:rFonts w:ascii="Arial;sans-serif" w:hAnsi="Arial;sans-serif"/>
          <w:b w:val="false"/>
          <w:color w:val="000000"/>
          <w:sz w:val="20"/>
          <w:shd w:fill="FFFFFF" w:val="clear"/>
        </w:rPr>
        <w:t>during the quarter ended September 27, 2026</w:t>
      </w:r>
      <w:r>
        <w:rPr>
          <w:color w:val="000000"/>
        </w:rPr>
        <w:t xml:space="preserve"> </w:t>
      </w:r>
      <w:r>
        <w:rPr>
          <w:rFonts w:ascii="Arial;sans-serif" w:hAnsi="Arial;sans-serif"/>
          <w:b w:val="false"/>
          <w:color w:val="000000"/>
          <w:sz w:val="20"/>
        </w:rPr>
        <w:t xml:space="preserve">increased $121 million, or 24%, compared to the same period in 2025. </w:t>
      </w:r>
      <w:r>
        <w:rPr>
          <w:rFonts w:ascii="Arial;sans-serif" w:hAnsi="Arial;sans-serif"/>
          <w:b w:val="false"/>
          <w:color w:val="000000"/>
          <w:sz w:val="20"/>
          <w:shd w:fill="FFFFFF" w:val="clear"/>
        </w:rPr>
        <w:t>The increase was primarily attributable to higher sales volume previously described.</w:t>
      </w:r>
    </w:p>
    <w:p>
      <w:pPr>
        <w:pStyle w:val="TextBody"/>
        <w:bidi w:val="0"/>
        <w:spacing w:lineRule="auto" w:line="288" w:before="200" w:after="200"/>
        <w:ind w:left="0" w:right="0" w:firstLine="450"/>
        <w:jc w:val="both"/>
        <w:rPr/>
      </w:pPr>
      <w:r>
        <w:rPr>
          <w:rFonts w:ascii="Arial;sans-serif" w:hAnsi="Arial;sans-serif"/>
          <w:b w:val="false"/>
          <w:color w:val="000000"/>
          <w:sz w:val="20"/>
        </w:rPr>
        <w:t xml:space="preserve">MFC’s sales during the nine months ended September 27, 2026 increased $1.8 billion, or 17%, compared to the same period in 2025. </w:t>
      </w:r>
      <w:r>
        <w:rPr>
          <w:rFonts w:ascii="Arial;sans-serif" w:hAnsi="Arial;sans-serif"/>
          <w:b w:val="false"/>
          <w:color w:val="000000"/>
          <w:sz w:val="20"/>
          <w:shd w:fill="FFFFFF" w:val="clear"/>
        </w:rPr>
        <w:t>The increase was primarily attributable to higher sales of $1.2 billion on integrated air and missile defense programs due to production ramps (PAC-3 and THAAD), and $510 million on tactical and strike missile programs due to production ramps (GMLRS and PrSM).</w:t>
      </w:r>
    </w:p>
    <w:p>
      <w:pPr>
        <w:pStyle w:val="TextBody"/>
        <w:bidi w:val="0"/>
        <w:spacing w:lineRule="auto" w:line="288" w:before="200" w:after="200"/>
        <w:ind w:left="0" w:right="0" w:firstLine="450"/>
        <w:jc w:val="both"/>
        <w:rPr/>
      </w:pPr>
      <w:r>
        <w:rPr>
          <w:rFonts w:ascii="Arial;sans-serif" w:hAnsi="Arial;sans-serif"/>
          <w:b w:val="false"/>
          <w:color w:val="000000"/>
          <w:sz w:val="20"/>
        </w:rPr>
        <w:t xml:space="preserve">MFC’s operating profit during the nine months ended September 27, 2026 increased $271 million, or 19%, compared to the same period in 2025. </w:t>
      </w:r>
      <w:r>
        <w:rPr>
          <w:rFonts w:ascii="Arial;sans-serif" w:hAnsi="Arial;sans-serif"/>
          <w:b w:val="false"/>
          <w:color w:val="000000"/>
          <w:sz w:val="20"/>
          <w:shd w:fill="FFFFFF" w:val="clear"/>
        </w:rPr>
        <w:t>The increase was primarily attributable to the higher sales volume previously described, and $75 million due to higher net favorable profit adjustments on integrated air and missile defense (PAC-3 and THAAD).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Rotary and Mission Systems</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Summary operating results for our RMS business segment were as follows (in millions):</w:t>
      </w:r>
    </w:p>
    <w:tbl>
      <w:tblPr>
        <w:tblW w:w="9047" w:type="dxa"/>
        <w:jc w:val="left"/>
        <w:tblInd w:w="0" w:type="dxa"/>
        <w:tblLayout w:type="fixed"/>
        <w:tblCellMar>
          <w:top w:w="28" w:type="dxa"/>
          <w:left w:w="28" w:type="dxa"/>
          <w:bottom w:w="28" w:type="dxa"/>
          <w:right w:w="28" w:type="dxa"/>
        </w:tblCellMar>
      </w:tblPr>
      <w:tblGrid>
        <w:gridCol w:w="579"/>
        <w:gridCol w:w="509"/>
        <w:gridCol w:w="516"/>
        <w:gridCol w:w="109"/>
        <w:gridCol w:w="109"/>
        <w:gridCol w:w="109"/>
        <w:gridCol w:w="211"/>
        <w:gridCol w:w="646"/>
        <w:gridCol w:w="286"/>
        <w:gridCol w:w="109"/>
        <w:gridCol w:w="109"/>
        <w:gridCol w:w="109"/>
        <w:gridCol w:w="109"/>
        <w:gridCol w:w="109"/>
        <w:gridCol w:w="109"/>
        <w:gridCol w:w="211"/>
        <w:gridCol w:w="646"/>
        <w:gridCol w:w="286"/>
        <w:gridCol w:w="109"/>
        <w:gridCol w:w="109"/>
        <w:gridCol w:w="109"/>
        <w:gridCol w:w="109"/>
        <w:gridCol w:w="109"/>
        <w:gridCol w:w="109"/>
        <w:gridCol w:w="211"/>
        <w:gridCol w:w="751"/>
        <w:gridCol w:w="286"/>
        <w:gridCol w:w="109"/>
        <w:gridCol w:w="109"/>
        <w:gridCol w:w="109"/>
        <w:gridCol w:w="109"/>
        <w:gridCol w:w="109"/>
        <w:gridCol w:w="109"/>
        <w:gridCol w:w="211"/>
        <w:gridCol w:w="751"/>
        <w:gridCol w:w="286"/>
        <w:gridCol w:w="109"/>
        <w:gridCol w:w="109"/>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12,856</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10.8</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00"/>
        <w:ind w:left="0" w:right="0" w:firstLine="450"/>
        <w:jc w:val="both"/>
        <w:rPr/>
      </w:pPr>
      <w:r>
        <w:rPr>
          <w:rFonts w:ascii="Arial;sans-serif" w:hAnsi="Arial;sans-serif"/>
          <w:b w:val="false"/>
          <w:color w:val="000000"/>
          <w:sz w:val="20"/>
        </w:rPr>
        <w:t xml:space="preserve">RMS’ sales </w:t>
      </w:r>
      <w:r>
        <w:rPr>
          <w:rFonts w:ascii="Arial;sans-serif" w:hAnsi="Arial;sans-serif"/>
          <w:b w:val="false"/>
          <w:color w:val="000000"/>
          <w:sz w:val="20"/>
          <w:shd w:fill="FFFFFF" w:val="clear"/>
        </w:rPr>
        <w:t>during the quarter ended</w:t>
      </w:r>
      <w:r>
        <w:rPr>
          <w:color w:val="000000"/>
        </w:rPr>
        <w:t xml:space="preserve"> </w:t>
      </w:r>
      <w:r>
        <w:rPr>
          <w:rFonts w:ascii="Arial;sans-serif" w:hAnsi="Arial;sans-serif"/>
          <w:b w:val="false"/>
          <w:color w:val="000000"/>
          <w:sz w:val="20"/>
        </w:rPr>
        <w:t>September 27, 2026 increased $138 million, or 3%, compared to the same period in 2025. The increase was attributable to higher sales of $140 million on Sensors, Effectors &amp; Mission Systems (SEMS) programs due to higher volume on radar programs.</w:t>
      </w:r>
    </w:p>
    <w:p>
      <w:pPr>
        <w:pStyle w:val="TextBody"/>
        <w:bidi w:val="0"/>
        <w:spacing w:lineRule="auto" w:line="268" w:before="200" w:after="200"/>
        <w:ind w:left="0" w:right="0" w:firstLine="450"/>
        <w:jc w:val="both"/>
        <w:rPr/>
      </w:pPr>
      <w:r>
        <w:rPr>
          <w:rFonts w:ascii="Arial;sans-serif" w:hAnsi="Arial;sans-serif"/>
          <w:b w:val="false"/>
          <w:color w:val="000000"/>
          <w:sz w:val="20"/>
        </w:rPr>
        <w:t xml:space="preserve">RMS’ operating profit </w:t>
      </w:r>
      <w:r>
        <w:rPr>
          <w:rFonts w:ascii="Arial;sans-serif" w:hAnsi="Arial;sans-serif"/>
          <w:b w:val="false"/>
          <w:color w:val="000000"/>
          <w:sz w:val="20"/>
          <w:shd w:fill="FFFFFF" w:val="clear"/>
        </w:rPr>
        <w:t>during the quarter ended</w:t>
      </w:r>
      <w:r>
        <w:rPr>
          <w:color w:val="000000"/>
        </w:rPr>
        <w:t xml:space="preserve"> </w:t>
      </w:r>
      <w:r>
        <w:rPr>
          <w:rFonts w:ascii="Arial;sans-serif" w:hAnsi="Arial;sans-serif"/>
          <w:b w:val="false"/>
          <w:color w:val="000000"/>
          <w:sz w:val="20"/>
        </w:rPr>
        <w:t xml:space="preserve">September 27, 2026 increased $18 million, or 4%, compared to the same period in 2025, primarily due to a $40 million favorable profit adjustment upon the resolution of a contracting matter, offset by unfavorable profit adjustments of $45 million on Heavy Lift and Seahawk programs in the third quarter of 2026. </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RMS’ sales during the nine months ended September 27, 2026 increased $160 million, or 1%, compared to the same period in 2025. The increase was primarily attributable to higher sales of $150 million on Mission Integrated Command &amp; Control (MIC2) programs due to higher volume on undersea mission systems programs and the River Class Destroyer program, and $60 million on Sikorsky helicopter programs. Higher sales at Sikorsky were due to the sales impact of the reach-forward losses recognized on CMHP and TUHP in 2025, partially offset by the sales impact of unfavorable profit adjustments recognized on Heavy Lift and Seahawk programs in 2026.</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RMS’ operating profit during the nine months ended September 27, 2026 increased $529 million, or 62%, compared to the same period in 2025. The increase was attributable to the $570 million reach-forward loss recognized on CMHP and the $95 million reach-forward loss recognized on TUHP in 2025, partially offset by unfavorable profit adjustments of $125 million on Heavy Lift and $95 million on Seahawk programs in 2026.</w:t>
      </w:r>
    </w:p>
    <w:p>
      <w:pPr>
        <w:pStyle w:val="TextBody"/>
        <w:bidi w:val="0"/>
        <w:spacing w:lineRule="auto" w:line="268" w:before="200" w:after="200"/>
        <w:jc w:val="left"/>
        <w:rPr>
          <w:rFonts w:ascii="Arial;sans-serif" w:hAnsi="Arial;sans-serif"/>
          <w:b/>
          <w:color w:val="000000"/>
          <w:sz w:val="20"/>
        </w:rPr>
      </w:pPr>
      <w:r>
        <w:rPr>
          <w:rFonts w:ascii="Arial;sans-serif" w:hAnsi="Arial;sans-serif"/>
          <w:b/>
          <w:color w:val="000000"/>
          <w:sz w:val="20"/>
        </w:rPr>
        <w:t>Space</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Summary operating results for our Space business segment were as follows (in millions):</w:t>
      </w:r>
    </w:p>
    <w:tbl>
      <w:tblPr>
        <w:tblW w:w="8942" w:type="dxa"/>
        <w:jc w:val="left"/>
        <w:tblInd w:w="0" w:type="dxa"/>
        <w:tblLayout w:type="fixed"/>
        <w:tblCellMar>
          <w:top w:w="28" w:type="dxa"/>
          <w:left w:w="28" w:type="dxa"/>
          <w:bottom w:w="28" w:type="dxa"/>
          <w:right w:w="28" w:type="dxa"/>
        </w:tblCellMar>
      </w:tblPr>
      <w:tblGrid>
        <w:gridCol w:w="579"/>
        <w:gridCol w:w="509"/>
        <w:gridCol w:w="516"/>
        <w:gridCol w:w="109"/>
        <w:gridCol w:w="109"/>
        <w:gridCol w:w="109"/>
        <w:gridCol w:w="211"/>
        <w:gridCol w:w="646"/>
        <w:gridCol w:w="286"/>
        <w:gridCol w:w="109"/>
        <w:gridCol w:w="109"/>
        <w:gridCol w:w="109"/>
        <w:gridCol w:w="109"/>
        <w:gridCol w:w="109"/>
        <w:gridCol w:w="109"/>
        <w:gridCol w:w="211"/>
        <w:gridCol w:w="646"/>
        <w:gridCol w:w="286"/>
        <w:gridCol w:w="109"/>
        <w:gridCol w:w="109"/>
        <w:gridCol w:w="109"/>
        <w:gridCol w:w="109"/>
        <w:gridCol w:w="109"/>
        <w:gridCol w:w="109"/>
        <w:gridCol w:w="211"/>
        <w:gridCol w:w="751"/>
        <w:gridCol w:w="286"/>
        <w:gridCol w:w="109"/>
        <w:gridCol w:w="109"/>
        <w:gridCol w:w="109"/>
        <w:gridCol w:w="109"/>
        <w:gridCol w:w="109"/>
        <w:gridCol w:w="109"/>
        <w:gridCol w:w="211"/>
        <w:gridCol w:w="646"/>
        <w:gridCol w:w="286"/>
        <w:gridCol w:w="109"/>
        <w:gridCol w:w="109"/>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3,485</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10,409</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2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00"/>
        <w:ind w:left="0" w:right="0" w:firstLine="450"/>
        <w:jc w:val="both"/>
        <w:rPr/>
      </w:pPr>
      <w:r>
        <w:rPr>
          <w:rFonts w:ascii="Arial;sans-serif" w:hAnsi="Arial;sans-serif"/>
          <w:b w:val="false"/>
          <w:color w:val="000000"/>
          <w:sz w:val="20"/>
        </w:rPr>
        <w:t xml:space="preserve">Space’s sales </w:t>
      </w:r>
      <w:r>
        <w:rPr>
          <w:rFonts w:ascii="Arial;sans-serif" w:hAnsi="Arial;sans-serif"/>
          <w:b w:val="false"/>
          <w:color w:val="000000"/>
          <w:sz w:val="20"/>
          <w:shd w:fill="FFFFFF" w:val="clear"/>
        </w:rPr>
        <w:t>during the quarter ended September 27, 2026</w:t>
      </w:r>
      <w:r>
        <w:rPr>
          <w:color w:val="000000"/>
        </w:rPr>
        <w:t xml:space="preserve"> </w:t>
      </w:r>
      <w:r>
        <w:rPr>
          <w:rFonts w:ascii="Arial;sans-serif" w:hAnsi="Arial;sans-serif"/>
          <w:b w:val="false"/>
          <w:color w:val="000000"/>
          <w:sz w:val="22"/>
        </w:rPr>
        <w:t>increased $129 million, or 4%</w:t>
      </w:r>
      <w:r>
        <w:rPr>
          <w:rFonts w:ascii="Arial;sans-serif" w:hAnsi="Arial;sans-serif"/>
          <w:b w:val="false"/>
          <w:color w:val="000000"/>
          <w:sz w:val="20"/>
        </w:rPr>
        <w:t>, compared to the same period in 2025. The increase was primarily attributable to higher sales of $185 million on strategic and missile defense programs due to higher volume on the FBM and NGI programs, partially offset by lower sales of $115 million for national security space programs due to the program lifecycle on the OPIR mission.</w:t>
      </w:r>
    </w:p>
    <w:p>
      <w:pPr>
        <w:pStyle w:val="TextBody"/>
        <w:bidi w:val="0"/>
        <w:spacing w:lineRule="auto" w:line="288" w:before="200" w:after="200"/>
        <w:ind w:left="0" w:right="0" w:firstLine="450"/>
        <w:jc w:val="both"/>
        <w:rPr/>
      </w:pPr>
      <w:r>
        <w:rPr>
          <w:rFonts w:ascii="Arial;sans-serif" w:hAnsi="Arial;sans-serif"/>
          <w:b w:val="false"/>
          <w:color w:val="000000"/>
          <w:sz w:val="20"/>
        </w:rPr>
        <w:t xml:space="preserve">Space’s operating profit </w:t>
      </w:r>
      <w:r>
        <w:rPr>
          <w:rFonts w:ascii="Arial;sans-serif" w:hAnsi="Arial;sans-serif"/>
          <w:b w:val="false"/>
          <w:color w:val="000000"/>
          <w:sz w:val="20"/>
          <w:shd w:fill="FFFFFF" w:val="clear"/>
        </w:rPr>
        <w:t xml:space="preserve">during the quarter ended September 27, 2026 was comparable to the same period in 2025. </w:t>
      </w:r>
    </w:p>
    <w:p>
      <w:pPr>
        <w:pStyle w:val="TextBody"/>
        <w:bidi w:val="0"/>
        <w:spacing w:lineRule="auto" w:line="288" w:before="200" w:after="200"/>
        <w:ind w:left="0" w:right="0" w:firstLine="450"/>
        <w:jc w:val="both"/>
        <w:rPr/>
      </w:pPr>
      <w:r>
        <w:rPr>
          <w:rFonts w:ascii="Arial;sans-serif" w:hAnsi="Arial;sans-serif"/>
          <w:b w:val="false"/>
          <w:color w:val="000000"/>
          <w:sz w:val="20"/>
          <w:shd w:fill="FFFFFF" w:val="clear"/>
        </w:rPr>
        <w:t xml:space="preserve">Space’s sales during the nine months ended September 27, 2026 increased $541 million, or 5%, </w:t>
      </w:r>
      <w:r>
        <w:rPr>
          <w:rFonts w:ascii="Arial;sans-serif" w:hAnsi="Arial;sans-serif"/>
          <w:b w:val="false"/>
          <w:color w:val="000000"/>
          <w:sz w:val="20"/>
        </w:rPr>
        <w:t>compared to the same period in 2025. The increase was primarily attributable to higher sales of $620 million on strategic and missile defense programs due to increased volume (FBM and NGI).</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Space’s operating profit during the nine months ended September 27, 2026 decreased $89 million, or 8%, compared to the same period in 2025. The decrease was primarily due to favorable performance at completion on certain commercial civil space programs in 2025; partially offset by higher sales volume previously described.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200" w:after="283"/>
        <w:jc w:val="left"/>
        <w:rPr>
          <w:rFonts w:ascii="Arial;sans-serif" w:hAnsi="Arial;sans-serif"/>
          <w:b/>
          <w:color w:val="000000"/>
          <w:sz w:val="20"/>
          <w:shd w:fill="FFFFFF" w:val="clear"/>
        </w:rPr>
      </w:pPr>
      <w:r>
        <w:rPr>
          <w:rFonts w:ascii="Arial;sans-serif" w:hAnsi="Arial;sans-serif"/>
          <w:b/>
          <w:color w:val="000000"/>
          <w:sz w:val="20"/>
          <w:shd w:fill="FFFFFF" w:val="clear"/>
        </w:rPr>
        <w:t>FINANCIAL CONDITION</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At September 27, 2026, we had cash and cash equivalents of $6.0 billion that was generally available to fund ordinary business operations without significant legal, regulatory or other restrictions. Our principal source of liquidity is our cash from operations and access to credit markets. Access to credit markets includes our $5.25 billion of unsecured revolving credit facilities and the ability to issue commercial paper. We may, as conditions warrant, issue commercial paper backed by our revolving credit facilities to manage the timing of cash flows. There were no borrowings outstanding under the revolving credit facilities or the commercial paper program at September 27, 2026 or December 31, 2025.</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Cash received from customers is our primary source of cash from operations. However, from time to time, we fund customer programs ourselves pending government appropriations or prior to contract award. See “Note 6 - Inventories” included in our Notes to Consolidated Financial Statements for additional information. If we incur costs in excess of funds obligated on the contract or in advance of a contract award, this negatively affects our cash flows, and we may be at risk for reimbursement of the excess costs. In addition, when estimates of total costs to be incurred on a contract exceed total estimates of the transaction price, a provision for the entire loss is determined at the contract level and is recorded in the period in which the loss is evident, which we refer to as a reach-forward loss. Typically, these reach-forward losses do not have an immediate cash flow impact, but as future costs are incurred on these contracts, these losses will negatively impact cash flows over the remaining period of performance.</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Increases in costs due to tariffs may impact our cash flows, as we may not be able to fully recover these costs, and even if recovery is possible, it may not occur in the same period as the incurred costs. See “Business Overview” discussion above.</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Billing timetables and payment terms on our contracts vary based on a number of factors, including the contract type. We generally bill and collect cash more frequently under cost-reimbursable contracts, which represented approximately 40% of the sales we recorded during the nine months ended September 27, 2026, as we are authorized to bill as the costs are incurred. A number of our fixed-price contracts may provide for performance-based payments, which allow us to bill and collect cash as we perform on the contract as we achieve milestones. The amounts of performance-based payments and the related milestones are determined in the negotiation of each contract. The timing of such payments may differ from the timing of the costs incurred related to our contract performance, thereby affecting our cash flows.</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The U.S. Government has indicated that it would consider progress payments as the baseline for negotiating payment terms on fixed-price contracts, rather than performance-based payments. In contrast to negotiated performance-based payment terms, progress payment provisions correspond to a percentage of the amount of costs incurred during the performance of the contract and are invoiced regularly as costs are incurred. Our cash flows may be affected if the U.S. Government changes its payment policies. The U.S. Government from time to time withholds payments on certain of our billings based on contract terms or regulatory provisions. Ultimately, the impact of policy changes or withholding payments may delay the receipt of cash, but the cumulative amount of cash collected during the life of the contract should not vary due to these items.</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We seek to maintain a disciplined and dynamic cash deployment strategy to invest in our business and key technologies to provide our customers with enhanced capabilities, enhance stockholder value, and position ourselves to take advantage of new business opportunities when they arise. Consistent with that strategy, we have continued to invest in our business and technologies through capital expenditures, independent research and development, and selective business acquisitions and investments. We expect to fund the pending $3.45 billion acquisition of Ultra Maritime with cash on hand. See “Note 13 - Other” for additional information. We have guaranteed $750 million of certain United Launch Alliance (ULA) borrowings and expect to provide additional financial support. See “Note 2 - Significant Accounting Policies” included in our Notes to Consolidated Financial Statements for additional information.</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As we implement our digital and business transformation, which includes implementation of new systems, the timing of certain of our cash flows may be temporarily impacted within a calendar year.</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We continue to actively manage our debt levels, including maturities and interest rates. We seek to finance our business in a manner that preserves financial flexibility while minimizing borrowing costs to the extent practicable. We review changes in financial market and economic conditions to manage the types, amounts and maturities of our indebtedness. We may at times refinance existing indebtedness, vary our mix of variable-rate and fixed-rate debt or seek alternative financing sources or arrangements for our cash and operational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We actively manage our pension obligations and expect to continue doing so opportunistically through discretionary contributions, the purchase of group annuity contracts using assets from the pension trust, or other actions. See “Note 9 - Retirement Benefits” included in our Notes to Consolidated Financial Statements for additional information. </w:t>
      </w:r>
    </w:p>
    <w:p>
      <w:pPr>
        <w:pStyle w:val="TextBody"/>
        <w:bidi w:val="0"/>
        <w:spacing w:lineRule="auto" w:line="288" w:before="200" w:after="200"/>
        <w:ind w:left="0" w:right="0" w:firstLine="450"/>
        <w:jc w:val="left"/>
        <w:rPr>
          <w:rFonts w:ascii="Arial;sans-serif" w:hAnsi="Arial;sans-serif"/>
          <w:b w:val="false"/>
          <w:color w:val="000000"/>
          <w:sz w:val="20"/>
        </w:rPr>
      </w:pPr>
      <w:r>
        <w:rPr>
          <w:rFonts w:ascii="Arial;sans-serif" w:hAnsi="Arial;sans-serif"/>
          <w:b w:val="false"/>
          <w:color w:val="000000"/>
          <w:sz w:val="20"/>
        </w:rPr>
        <w:t>The following table provides a summary of our cash flow information followed by a discussion of the key elements (in millions):</w:t>
      </w:r>
    </w:p>
    <w:tbl>
      <w:tblPr>
        <w:tblW w:w="7821" w:type="dxa"/>
        <w:jc w:val="left"/>
        <w:tblInd w:w="0" w:type="dxa"/>
        <w:tblLayout w:type="fixed"/>
        <w:tblCellMar>
          <w:top w:w="28" w:type="dxa"/>
          <w:left w:w="28" w:type="dxa"/>
          <w:bottom w:w="28" w:type="dxa"/>
          <w:right w:w="28" w:type="dxa"/>
        </w:tblCellMar>
      </w:tblPr>
      <w:tblGrid>
        <w:gridCol w:w="1536"/>
        <w:gridCol w:w="1352"/>
        <w:gridCol w:w="1356"/>
        <w:gridCol w:w="109"/>
        <w:gridCol w:w="109"/>
        <w:gridCol w:w="109"/>
        <w:gridCol w:w="235"/>
        <w:gridCol w:w="719"/>
        <w:gridCol w:w="121"/>
        <w:gridCol w:w="121"/>
        <w:gridCol w:w="121"/>
        <w:gridCol w:w="121"/>
        <w:gridCol w:w="109"/>
        <w:gridCol w:w="109"/>
        <w:gridCol w:w="109"/>
        <w:gridCol w:w="234"/>
        <w:gridCol w:w="717"/>
        <w:gridCol w:w="121"/>
        <w:gridCol w:w="121"/>
        <w:gridCol w:w="121"/>
        <w:gridCol w:w="171"/>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4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year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4,121</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5,169</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2,606</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6,893</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1,839</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5,960</w:t>
            </w:r>
            <w:r>
              <w:rPr>
                <w:color w:val="000000"/>
              </w:rPr>
              <w:t> </w:t>
            </w:r>
          </w:p>
        </w:tc>
        <w:tc>
          <w:tcPr>
            <w:tcW w:w="1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3,470 </w:t>
            </w:r>
          </w:p>
        </w:tc>
        <w:tc>
          <w:tcPr>
            <w:tcW w:w="1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450"/>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Net cash provided by operating activities during the nine months ended September 27, 2026 increased $1.6 billion compared to the same period in 2025. The increase in cash from operations was primarily due to higher customer receipts in 2026 and lower tax payments reflecting the impact of the Tax Act and the Notice.</w:t>
      </w:r>
    </w:p>
    <w:p>
      <w:pPr>
        <w:pStyle w:val="TextBody"/>
        <w:bidi w:val="0"/>
        <w:spacing w:lineRule="auto" w:line="288" w:before="200" w:after="283"/>
        <w:jc w:val="both"/>
        <w:rPr/>
      </w:pPr>
      <w:r>
        <w:rPr>
          <w:rFonts w:ascii="Arial;sans-serif" w:hAnsi="Arial;sans-serif"/>
          <w:b w:val="false"/>
          <w:color w:val="000000"/>
          <w:sz w:val="20"/>
        </w:rPr>
        <w:t xml:space="preserve">Non-GAAP Financial Measure - Free Cash </w:t>
      </w:r>
      <w:r>
        <w:rPr>
          <w:rFonts w:ascii="Arial;sans-serif" w:hAnsi="Arial;sans-serif"/>
          <w:b w:val="false"/>
          <w:color w:val="000000"/>
          <w:sz w:val="20"/>
          <w:shd w:fill="FFFFFF" w:val="clear"/>
        </w:rPr>
        <w:t>Flow</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Free cash flow is a non-GAAP financial measure that we define as cash from operations less capital expenditures. Our capital expenditures are comprised of equipment and facilities infrastructure and information technology (inclusive of costs for the development or purchase of internal-use software that are capitalized). We use free cash flow to evaluate our business performance and overall liquidity. While management believes that free cash flow as a non-GAAP financial measure may be useful in evaluating our financial performance, it should be considered supplemental to, and not a substitute for, financial information prepared in accordance with GAAP and may not be comparable to similarly titled measures used by other companies.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reconciles net cash provided by operating activities to free cash flow (in millions):</w:t>
      </w:r>
    </w:p>
    <w:tbl>
      <w:tblPr>
        <w:tblW w:w="5556" w:type="dxa"/>
        <w:jc w:val="left"/>
        <w:tblInd w:w="0" w:type="dxa"/>
        <w:tblLayout w:type="fixed"/>
        <w:tblCellMar>
          <w:top w:w="28" w:type="dxa"/>
          <w:left w:w="28" w:type="dxa"/>
          <w:bottom w:w="28" w:type="dxa"/>
          <w:right w:w="28" w:type="dxa"/>
        </w:tblCellMar>
      </w:tblPr>
      <w:tblGrid>
        <w:gridCol w:w="717"/>
        <w:gridCol w:w="630"/>
        <w:gridCol w:w="632"/>
        <w:gridCol w:w="109"/>
        <w:gridCol w:w="109"/>
        <w:gridCol w:w="109"/>
        <w:gridCol w:w="235"/>
        <w:gridCol w:w="719"/>
        <w:gridCol w:w="121"/>
        <w:gridCol w:w="121"/>
        <w:gridCol w:w="121"/>
        <w:gridCol w:w="121"/>
        <w:gridCol w:w="109"/>
        <w:gridCol w:w="109"/>
        <w:gridCol w:w="109"/>
        <w:gridCol w:w="234"/>
        <w:gridCol w:w="717"/>
        <w:gridCol w:w="121"/>
        <w:gridCol w:w="121"/>
        <w:gridCol w:w="121"/>
        <w:gridCol w:w="17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28,</w:t>
              <w:br/>
              <w:t>2025</w:t>
            </w:r>
          </w:p>
        </w:tc>
      </w:tr>
      <w:tr>
        <w:trPr/>
        <w:tc>
          <w:tcPr>
            <w:tcW w:w="19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from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6,893</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(1,268)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5,625</w:t>
            </w:r>
            <w:r>
              <w:rPr>
                <w:color w:val="000000"/>
              </w:rPr>
              <w:t> </w:t>
            </w:r>
          </w:p>
        </w:tc>
        <w:tc>
          <w:tcPr>
            <w:tcW w:w="1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4,152 </w:t>
            </w:r>
          </w:p>
        </w:tc>
        <w:tc>
          <w:tcPr>
            <w:tcW w:w="1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pPr>
      <w:r>
        <w:rPr>
          <w:rFonts w:ascii="Arial;sans-serif" w:hAnsi="Arial;sans-serif"/>
          <w:b w:val="false"/>
          <w:color w:val="000000"/>
          <w:sz w:val="20"/>
        </w:rPr>
        <w:t xml:space="preserve">Free cash flow </w:t>
      </w:r>
      <w:r>
        <w:rPr>
          <w:rFonts w:ascii="Arial;sans-serif" w:hAnsi="Arial;sans-serif"/>
          <w:b w:val="false"/>
          <w:color w:val="000000"/>
          <w:sz w:val="20"/>
          <w:shd w:fill="FFFFFF" w:val="clear"/>
        </w:rPr>
        <w:t>d</w:t>
      </w:r>
      <w:r>
        <w:rPr>
          <w:rFonts w:ascii="Arial;sans-serif" w:hAnsi="Arial;sans-serif"/>
          <w:b w:val="false"/>
          <w:color w:val="000000"/>
          <w:sz w:val="20"/>
        </w:rPr>
        <w:t>uring the nine months ended September 27, 2026 increased $1.5 billion compared to the same period in 2025 primarily due to operating cash flow drivers described above.</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200" w:after="283"/>
        <w:ind w:left="0" w:right="0" w:firstLine="495"/>
        <w:jc w:val="both"/>
        <w:rPr/>
      </w:pPr>
      <w:r>
        <w:rPr>
          <w:rFonts w:ascii="Arial;sans-serif" w:hAnsi="Arial;sans-serif"/>
          <w:b w:val="false"/>
          <w:color w:val="000000"/>
          <w:sz w:val="20"/>
        </w:rPr>
        <w:t xml:space="preserve">Net cash used for investing activities </w:t>
      </w:r>
      <w:r>
        <w:rPr>
          <w:rFonts w:ascii="Arial;sans-serif" w:hAnsi="Arial;sans-serif"/>
          <w:b w:val="false"/>
          <w:color w:val="000000"/>
          <w:sz w:val="20"/>
          <w:shd w:fill="FFFFFF" w:val="clear"/>
        </w:rPr>
        <w:t>duri</w:t>
      </w:r>
      <w:r>
        <w:rPr>
          <w:rFonts w:ascii="Arial;sans-serif" w:hAnsi="Arial;sans-serif"/>
          <w:b w:val="false"/>
          <w:color w:val="000000"/>
          <w:sz w:val="20"/>
        </w:rPr>
        <w:t>ng the nine months ended September 27, 2026 decreased $104 million compared to the same period in 2025, primarily due to a $360 million cash payment for the acquisition of Rapid Solutions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Capital expenditures totaled $1.3 billion and $1.2 billion during the nine months ended September 27, 2026 and September 28, 2025. The majority of our capital expenditures are for equipment and facilities infrastructure that generally are incurred to support new and existing programs across all of our business segments. We also incur capital expenditures for information technology to support programs and general enterprise information technology infrastructure, inclusive of costs for the development or purchase of internal-use software.</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200" w:after="283"/>
        <w:ind w:left="0" w:right="0" w:firstLine="495"/>
        <w:jc w:val="both"/>
        <w:rPr/>
      </w:pPr>
      <w:r>
        <w:rPr>
          <w:rFonts w:ascii="Arial;sans-serif" w:hAnsi="Arial;sans-serif"/>
          <w:b w:val="false"/>
          <w:color w:val="000000"/>
          <w:sz w:val="20"/>
        </w:rPr>
        <w:t xml:space="preserve">Net cash used for financing activities </w:t>
      </w:r>
      <w:r>
        <w:rPr>
          <w:rFonts w:ascii="Arial;sans-serif" w:hAnsi="Arial;sans-serif"/>
          <w:b w:val="false"/>
          <w:color w:val="000000"/>
          <w:sz w:val="20"/>
          <w:shd w:fill="FFFFFF" w:val="clear"/>
        </w:rPr>
        <w:t>during t</w:t>
      </w:r>
      <w:r>
        <w:rPr>
          <w:rFonts w:ascii="Arial;sans-serif" w:hAnsi="Arial;sans-serif"/>
          <w:b w:val="false"/>
          <w:color w:val="000000"/>
          <w:sz w:val="20"/>
        </w:rPr>
        <w:t xml:space="preserve">he nine months ended September 27, 2026 increased $807 million compared to the same period in 2025. During the nine months ended September 27, 2026, we did not receive any net proceeds from long-term debt issuance, compared to $2.0 billion during the same period in 2025. Additionally, during the nine months ended September 27, 2026, we repaid $1.2 billion of long-term notes with fixed interest rates according to their scheduled maturities, compared to $142 million during the same period in 2025. We did not make any share repurchases </w:t>
      </w:r>
      <w:r>
        <w:rPr>
          <w:rFonts w:ascii="Arial;sans-serif" w:hAnsi="Arial;sans-serif"/>
          <w:b w:val="false"/>
          <w:color w:val="000000"/>
          <w:sz w:val="20"/>
          <w:shd w:fill="FFFFFF" w:val="clear"/>
        </w:rPr>
        <w:t>during t</w:t>
      </w:r>
      <w:r>
        <w:rPr>
          <w:rFonts w:ascii="Arial;sans-serif" w:hAnsi="Arial;sans-serif"/>
          <w:b w:val="false"/>
          <w:color w:val="000000"/>
          <w:sz w:val="20"/>
        </w:rPr>
        <w:t>he nine months ended September 27, 2026, compared to paying $2.3 billion to repurchase 5.0 million shares during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OTHER MATTERS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Critical Accounting Policies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There have been no significant changes to the critical accounting policies disclosed in Part II, Item 7, “Management’s Discussion and Analysis of Financial Condition and Results of Operations”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As disclosed in Part II, Item 7A, “Quantitative and Qualitative Disclosures About Market Risk” of our 2025 Form 10-K, we transact business globally and are subject to risks associated with changing foreign currency exchange rates. We enter into foreign currency hedges such as forward and option contracts that change in value as foreign currency exchange rates change. Our exposures to market risk have not changed materially since December 31, 2025. See “Note 12 - Fair Value Measurements” included in our Notes to Consolidated Financial Statements for additional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We performed an evaluation of the effectiveness of our disclosure controls and procedures as of September 27, 2026. The evaluation was performed with the participation of senior management of each business segment and key corporate functions, under the supervision of the Chief Executive Officer (CEO) and Chief Financial Officer (CFO). Based on this evaluation, the CEO and CFO concluded that our disclosure controls and procedures were operating and effective as of September 27, 2026.</w:t>
      </w:r>
    </w:p>
    <w:p>
      <w:pPr>
        <w:pStyle w:val="TextBody"/>
        <w:bidi w:val="0"/>
        <w:spacing w:lineRule="auto" w:line="288" w:before="200" w:after="200"/>
        <w:ind w:left="0" w:right="0" w:firstLine="450"/>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during the quarter ended September 27, 2026 that materially affected, or are reasonably likely to materially affect, our internal control over financial reporting.</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This Form 10-Q contains statements that, to the extent they are not recitations of historical fact, constitute forward-looking statements within the meaning of the federal securities laws, and are based on our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 Actual results may differ materially due to factors such as:</w:t>
      </w:r>
    </w:p>
    <w:p>
      <w:pPr>
        <w:pStyle w:val="TextBody"/>
        <w:bidi w:val="0"/>
        <w:spacing w:lineRule="auto" w:line="288" w:before="0" w:after="0"/>
        <w:jc w:val="both"/>
        <w:rPr>
          <w:color w:val="000000"/>
        </w:rPr>
      </w:pPr>
      <w:r>
        <w:rPr>
          <w:color w:val="000000"/>
        </w:rPr>
        <w:t>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our reliance on contracts with the U.S. Government, which are dependent on U.S. Government funding and can be terminated for convenience, and our ability to negotiate favorable contract terms;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budget uncertainty, the risk of future budget cuts, the impact of continuing resolution funding mechanisms, the debt ceiling and government shutdowns, and changing funding and acquisition priorities;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related to the development, production, sustainment, performance, schedule, cost and requirements of complex and technologically advanced programs, including the F-35 program;</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timing of contract awards or contract definitization, the outcome of contract negotiations, decisions by government customers to impose contract terms following undefinitized contract actions, achievement of performance milestones, customer acceptance of product deliveries, and receipt of customer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ability to recover costs under U.S. Government contracts, the mix of fixed-price and cost-reimbursable contracts and the risks inherent in preparing estimates for fixed-price contracts (particularly for complex and technologically advanced programs);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customer procurement and other policies, laws, regulations and executive actions that affect our and our industry’s, programs, future opportunities, and financial performance, including those relating to mission priorities, competing domestic and international spending, contracting terms (such as fixed-price requirements), acquisition process reforms, treatment of contractor performance issues, and contractor access to competitive opportunities;</w:t>
      </w:r>
    </w:p>
    <w:p>
      <w:pPr>
        <w:pStyle w:val="TextBody"/>
        <w:bidi w:val="0"/>
        <w:spacing w:lineRule="auto" w:line="268" w:before="0" w:after="0"/>
        <w:ind w:left="0" w:right="0" w:hanging="360"/>
        <w:jc w:val="both"/>
        <w:rPr/>
      </w:pPr>
      <w:r>
        <w:rPr>
          <w:strike/>
          <w:color w:val="000000"/>
        </w:rPr>
        <w:t>•</w:t>
      </w:r>
      <w:r>
        <w:rPr>
          <w:rFonts w:ascii="Arial;sans-serif" w:hAnsi="Arial;sans-serif"/>
          <w:b w:val="false"/>
          <w:color w:val="000000"/>
          <w:sz w:val="20"/>
        </w:rPr>
        <w:t>planned production rates and orders for significant programs, compliance with stringent performance and reliability standards, and materials availability, including government furnished equipment, rare earth minerals and microelectronics;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performance and/or financial viability of key suppliers, teammates, joint ventures (including United Launch Alliance, for which we have provided guarantees and expects to provide additional financial support), joint venture partners, subcontractors and customers;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economic, capital market and political conditions in the U.S. and globally;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impact of inflation and other cost pressures;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government actions that restrict or prevent the sale or delivery of our products (such as delays in approvals for exports requiring Congressional notification);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foreign policy and international trade actions taken by governments such as tariffs, sanctions, embargoes, export and import controls, buying preferences, and other trade restrictions;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success expanding into and doing business in adjacent markets and internationally and the risks posed by international sales, including potential effects from fluctuations in currency exchange rates;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non-U.S. national priorities and government budgets and planned orders;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competitive environment for our products and services;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develop and commercialize new technologies and products, including emerging digital and network technologies and capabilities;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develop and integrate artificial intelligence and autonomy technologies into our products and operations, our use of third-party AI providers, unintended performance of AI-enabled systems, and evolving laws, regulations and contract requirements governing AI and autonomous weapon systems;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benefit fully from or adequately protect our intellectual property rights;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attract and retain a highly skilled workforce and the impact of work stoppages or other labor disruptions;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cyber or other security threats or other disruptions faced by us or our suppliers;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implement and continue, and the timing and impact of, capitalization changes such as share repurchases, dividend payments and financing transactions, including as a result of presidential executive orders;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accuracy of our estimates and projections;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pension plan assumptions and actual returns on pension assets; cash funding requirements and pension annuity contracts and associated charges;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realizing the anticipated benefits of acquisitions or divestitures, investments, joint ventures, teaming arrangements or internal reorganizations, and market volatility affecting the fair value of investments that are marked to market;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successfully integrate the Ultra Maritime business and realize synergies and other expected benefits of the transaction and the potential for disruption to our or Ultra Maritime's business, customer and supplier relationships;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efforts to fund and increase production capabilities and the efficiency of operations and improve the affordability of our products and services, including through digital transformation and cost reduction initiatives;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risk of an impairment of our assets, including the potential impairment of goodwill and intangibles;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availability and adequacy of our insurance and indemnities;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compliance with laws, regulations, policies, and customer requirements relating to environmental matters;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impact of public health crises, natural disasters and other severe weather conditions on our business and financial results, including supply chain disruptions and delays, employee absences, and program delays;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accounting, U.S. or foreign tax, export or other laws, regulations, and policies and their interpretation or application, and changes in the amount or reevaluation of uncertain tax positions;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outcome of legal proceedings, bid protests, environmental remediation efforts, audits, administrative reviews, government investigations or government allegations that we have failed to comply with law, other contingencies and U.S. Government identification of deficiencies in our business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These are only some of the factors that may affect the forward-looking statements contained in this Form 10-Q. For a discussion identifying additional important factors that could cause actual results to differ materially from those anticipated in the forward-looking statements, see our filings with the U.S. Securities and Exchange Commission (SEC) including, but not limited to, “Management’s Discussion and Analysis of Financial Condition and Results of Operations” and “Risk Factors” in our 2025 Form 10-K and subsequent Quarterly Reports on Form 10-Q. Our filings may be accessed through the Investor Relations page of our website, www.lockheedmartin.com/investor, or through the website maintained by the SEC at www.sec.gov. Information contained on or made available through our website or other websites mentioned in this Form 10-Q is not incorporated into and is not a part of this Form 10-Q, and any references to our website are intended to be inactive textual references only.</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Our actual financial results likely will be different from those projected due to the inherent nature of projections. Given these uncertainties, forward-looking statements should not be relied on in making investment decisions. The forward-looking statements contained in this Form 10-Q speak only as of the date of our filing. Except where required by applicable law, we expressly disclaim a duty to provide updates to forward-looking statements after the date of this Form 10-Q to reflect subsequent events, changed circumstances, changes in expectations, or the estimates and assumptions associated with them. The forward-looking statements in this Form 10-Q are intended to be subject to the safe harbor protection provided by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200" w:after="283"/>
        <w:jc w:val="left"/>
        <w:rPr/>
      </w:pPr>
      <w:r>
        <w:rPr>
          <w:rFonts w:ascii="Arial;sans-serif" w:hAnsi="Arial;sans-serif"/>
          <w:b/>
          <w:color w:val="000000"/>
          <w:sz w:val="20"/>
        </w:rPr>
        <w:t>PART II. OTHER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For information regarding legal proceedings and environmental matters, including current estimates of the amounts that we believe are required for remediation or clean-up to the extent estimable, see “Note 11 - Legal Proceedings and Contingencies — Legal Proceedings and Environmental Matters” included in our Notes to Consolidated Financial Statements in this Form 10-Q, which is hereby incorporated by reference. For additional information and a description of previously reported matters, see also “Critical Accounting Policies – Environmental Matters” in “Management’s Discussion and Analysis of Financial Condition and Results of Operations” and “Note 14 – Legal Proceedings, Commitments and Contingencies,”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Arial;sans-serif" w:hAnsi="Arial;sans-serif"/>
          <w:b w:val="false"/>
          <w:color w:val="000000"/>
          <w:sz w:val="20"/>
        </w:rPr>
      </w:pPr>
      <w:r>
        <w:rPr>
          <w:rFonts w:ascii="Arial;sans-serif" w:hAnsi="Arial;sans-serif"/>
          <w:b w:val="false"/>
          <w:color w:val="000000"/>
          <w:sz w:val="20"/>
        </w:rPr>
        <w:t>Except for the risk factor update disclosed in Part II, Item 1A, “Risk Factors” of our Quarterly Report on Form 10-Q for the quarter ended March 29, 2026, there have been no other material changes to our risk factors disclosed in Part I, Item 1A, “Risk Factors” of our 2025 Form 10-K. These risks and uncertainties described in our risk factors have the potential to materially affect our business, results of operations, financial condition, cash flows, projected results and future prospects. These risks are not exclusive and additional risks to which we are subject include the factors mentioned under “Forward-Looking Statements” and the risks described in “Management’s Discussion and Analysis of Financial Condition and Results of Operations”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00" w:after="283"/>
        <w:ind w:left="0" w:right="0" w:firstLine="495"/>
        <w:jc w:val="left"/>
        <w:rPr>
          <w:rFonts w:ascii="Arial;sans-serif" w:hAnsi="Arial;sans-serif"/>
          <w:b w:val="false"/>
          <w:color w:val="000000"/>
          <w:sz w:val="20"/>
        </w:rPr>
      </w:pPr>
      <w:r>
        <w:rPr>
          <w:rFonts w:ascii="Arial;sans-serif" w:hAnsi="Arial;sans-serif"/>
          <w:b w:val="false"/>
          <w:color w:val="000000"/>
          <w:sz w:val="20"/>
        </w:rPr>
        <w:t>There were no sales of unregistered equity securities during the quarter ended September 27, 2026.</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Arial;sans-serif" w:hAnsi="Arial;sans-serif"/>
          <w:b w:val="false"/>
          <w:color w:val="000000"/>
          <w:sz w:val="20"/>
        </w:rPr>
      </w:pPr>
      <w:r>
        <w:rPr>
          <w:rFonts w:ascii="Arial;sans-serif" w:hAnsi="Arial;sans-serif"/>
          <w:b w:val="false"/>
          <w:color w:val="000000"/>
          <w:sz w:val="20"/>
        </w:rPr>
        <w:t>There were no repurchases of our common stock in the open market during the quarter ended September 27, 2026.</w:t>
      </w:r>
    </w:p>
    <w:tbl>
      <w:tblPr>
        <w:tblW w:w="10205" w:type="dxa"/>
        <w:jc w:val="left"/>
        <w:tblInd w:w="0" w:type="dxa"/>
        <w:tblLayout w:type="fixed"/>
        <w:tblCellMar>
          <w:top w:w="28" w:type="dxa"/>
          <w:left w:w="28" w:type="dxa"/>
          <w:bottom w:w="28" w:type="dxa"/>
          <w:right w:w="28" w:type="dxa"/>
        </w:tblCellMar>
      </w:tblPr>
      <w:tblGrid>
        <w:gridCol w:w="1154"/>
        <w:gridCol w:w="462"/>
        <w:gridCol w:w="467"/>
        <w:gridCol w:w="109"/>
        <w:gridCol w:w="109"/>
        <w:gridCol w:w="109"/>
        <w:gridCol w:w="203"/>
        <w:gridCol w:w="203"/>
        <w:gridCol w:w="151"/>
        <w:gridCol w:w="151"/>
        <w:gridCol w:w="151"/>
        <w:gridCol w:w="151"/>
        <w:gridCol w:w="151"/>
        <w:gridCol w:w="151"/>
        <w:gridCol w:w="158"/>
        <w:gridCol w:w="211"/>
        <w:gridCol w:w="406"/>
        <w:gridCol w:w="109"/>
        <w:gridCol w:w="109"/>
        <w:gridCol w:w="109"/>
        <w:gridCol w:w="109"/>
        <w:gridCol w:w="109"/>
        <w:gridCol w:w="109"/>
        <w:gridCol w:w="109"/>
        <w:gridCol w:w="292"/>
        <w:gridCol w:w="292"/>
        <w:gridCol w:w="292"/>
        <w:gridCol w:w="292"/>
        <w:gridCol w:w="292"/>
        <w:gridCol w:w="296"/>
        <w:gridCol w:w="502"/>
        <w:gridCol w:w="1539"/>
        <w:gridCol w:w="259"/>
        <w:gridCol w:w="259"/>
        <w:gridCol w:w="259"/>
        <w:gridCol w:w="371"/>
      </w:tblGrid>
      <w:tr>
        <w:trPr/>
        <w:tc>
          <w:tcPr>
            <w:tcW w:w="115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Period </w:t>
            </w:r>
            <w:r>
              <w:rPr>
                <w:rFonts w:ascii="Arial;sans-serif" w:hAnsi="Arial;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w:t>
              <w:br/>
              <w:t>of Shares</w:t>
              <w:br/>
              <w:t>Purchased</w:t>
            </w:r>
          </w:p>
        </w:tc>
        <w:tc>
          <w:tcPr>
            <w:tcW w:w="1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w:t>
              <w:br/>
              <w:t>Price Paid</w:t>
              <w:br/>
              <w:t>Per Share</w:t>
            </w:r>
          </w:p>
        </w:tc>
        <w:tc>
          <w:tcPr>
            <w:tcW w:w="175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Number of</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Shares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Purchased as</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Part of Publicly</w:t>
            </w:r>
          </w:p>
          <w:p>
            <w:pPr>
              <w:pStyle w:val="TableContents"/>
              <w:bidi w:val="0"/>
              <w:spacing w:lineRule="auto" w:line="240" w:before="0" w:after="0"/>
              <w:jc w:val="center"/>
              <w:rPr/>
            </w:pPr>
            <w:r>
              <w:rPr>
                <w:rFonts w:ascii="Arial;sans-serif" w:hAnsi="Arial;sans-serif"/>
                <w:b/>
                <w:color w:val="000000"/>
                <w:sz w:val="20"/>
              </w:rPr>
              <w:t>Announced Plans</w:t>
              <w:br/>
              <w:t xml:space="preserve">or Programs </w:t>
            </w:r>
            <w:r>
              <w:rPr>
                <w:rFonts w:ascii="Arial;sans-serif" w:hAnsi="Arial;sans-serif"/>
                <w:b w:val="false"/>
                <w:color w:val="000000"/>
                <w:sz w:val="13"/>
              </w:rPr>
              <w:t>(b)</w:t>
            </w:r>
          </w:p>
        </w:tc>
        <w:tc>
          <w:tcPr>
            <w:tcW w:w="318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Approximate Dollar Value of Shares That May Yet be Purchased Under the Plans or Programs </w:t>
            </w:r>
            <w:r>
              <w:rPr>
                <w:rFonts w:ascii="Arial;sans-serif" w:hAnsi="Arial;sans-serif"/>
                <w:b w:val="false"/>
                <w:color w:val="000000"/>
                <w:sz w:val="13"/>
              </w:rPr>
              <w:t>(b)</w:t>
            </w:r>
          </w:p>
        </w:tc>
      </w:tr>
      <w:tr>
        <w:trPr/>
        <w:tc>
          <w:tcPr>
            <w:tcW w:w="20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millions)</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Arial;sans-serif" w:hAnsi="Arial;sans-serif"/>
                <w:b w:val="false"/>
                <w:color w:val="000000"/>
                <w:sz w:val="20"/>
              </w:rPr>
              <w:t xml:space="preserve">June 29, 2026 – July 26, 2026 </w:t>
            </w:r>
            <w:r>
              <w:rPr>
                <w:rFonts w:ascii="Arial;sans-serif" w:hAnsi="Arial;sans-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Arial;sans-serif" w:hAnsi="Arial;sans-serif"/>
                <w:b w:val="false"/>
                <w:color w:val="000000"/>
                <w:sz w:val="20"/>
              </w:rPr>
              <w:t xml:space="preserve">July 27, 2026 – August 30, 2026 </w:t>
            </w:r>
            <w:r>
              <w:rPr>
                <w:rFonts w:ascii="Arial;sans-serif" w:hAnsi="Arial;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Arial;sans-serif" w:hAnsi="Arial;sans-serif"/>
                <w:b w:val="false"/>
                <w:color w:val="000000"/>
                <w:sz w:val="20"/>
              </w:rPr>
              <w:t xml:space="preserve">August 31, 2026 – September 27, 2026 </w:t>
            </w:r>
            <w:r>
              <w:rPr>
                <w:rFonts w:ascii="Arial;sans-serif" w:hAnsi="Arial;sans-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Total </w:t>
            </w:r>
            <w:r>
              <w:rPr>
                <w:rFonts w:ascii="Arial;sans-serif" w:hAnsi="Arial;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450"/>
        <w:jc w:val="both"/>
        <w:rPr/>
      </w:pPr>
      <w:r>
        <w:rPr>
          <w:rFonts w:ascii="Arial;sans-serif" w:hAnsi="Arial;sans-serif"/>
          <w:b w:val="false"/>
          <w:color w:val="000000"/>
          <w:sz w:val="12"/>
        </w:rPr>
        <w:t>(a)</w:t>
      </w:r>
      <w:r>
        <w:rPr>
          <w:rFonts w:ascii="Arial;sans-serif" w:hAnsi="Arial;sans-serif"/>
          <w:b w:val="false"/>
          <w:color w:val="000000"/>
          <w:sz w:val="18"/>
        </w:rPr>
        <w:t>We close our books and records on the last Sunday of each month to align our financial closing with our business processes, except for the month of December, as our fiscal year ends on December 31. As a result, our fiscal months often differ from the calendar months. For example, September 27, 2026 was the last day of our September 2026 fiscal month.</w:t>
      </w:r>
    </w:p>
    <w:p>
      <w:pPr>
        <w:pStyle w:val="TextBody"/>
        <w:bidi w:val="0"/>
        <w:spacing w:lineRule="auto" w:line="288" w:before="60" w:after="283"/>
        <w:ind w:left="0" w:right="0" w:hanging="450"/>
        <w:jc w:val="both"/>
        <w:rPr/>
      </w:pPr>
      <w:r>
        <w:rPr>
          <w:rFonts w:ascii="Arial;sans-serif" w:hAnsi="Arial;sans-serif"/>
          <w:b w:val="false"/>
          <w:color w:val="000000"/>
          <w:sz w:val="12"/>
          <w:shd w:fill="FFFFFF" w:val="clear"/>
        </w:rPr>
        <w:t>(b)</w:t>
      </w:r>
      <w:r>
        <w:rPr>
          <w:rFonts w:ascii="Arial;sans-serif" w:hAnsi="Arial;sans-serif"/>
          <w:b w:val="false"/>
          <w:color w:val="000000"/>
          <w:sz w:val="18"/>
        </w:rPr>
        <w:t>In 2010, our Board of Directors approved a share repurchase program pursuant to which we are authorized to repurchase our common stock in privately negotiated transactions or in the open market at prices per share not exceeding the then-current market prices. We did not repurchase any shares during the quarter ended September 27, 2026.</w:t>
      </w:r>
    </w:p>
    <w:p>
      <w:pPr>
        <w:pStyle w:val="TextBody"/>
        <w:bidi w:val="0"/>
        <w:spacing w:lineRule="auto" w:line="288" w:before="60" w:after="283"/>
        <w:ind w:left="0" w:right="0" w:hanging="450"/>
        <w:jc w:val="both"/>
        <w:rPr/>
      </w:pPr>
      <w:r>
        <w:rPr>
          <w:rFonts w:ascii="Arial;sans-serif" w:hAnsi="Arial;sans-serif"/>
          <w:b w:val="false"/>
          <w:color w:val="000000"/>
          <w:sz w:val="12"/>
        </w:rPr>
        <w:t>(c)</w:t>
      </w:r>
      <w:r>
        <w:rPr>
          <w:rFonts w:ascii="Arial;sans-serif" w:hAnsi="Arial;sans-serif"/>
          <w:b w:val="false"/>
          <w:color w:val="000000"/>
          <w:sz w:val="18"/>
        </w:rPr>
        <w:t xml:space="preserve">During the quarter ended September 27, 2026, we withheld and retired 2,204 shares of common stock with an average price of $579.17 per share solely to satisfy tax withholding obligations associated with the vesting of restricted stock units and performance stock units.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ITEM 5. Other Information </w:t>
      </w:r>
    </w:p>
    <w:p>
      <w:pPr>
        <w:pStyle w:val="TextBody"/>
        <w:bidi w:val="0"/>
        <w:spacing w:lineRule="auto" w:line="288" w:before="200" w:after="380"/>
        <w:ind w:left="0" w:right="0" w:firstLine="495"/>
        <w:jc w:val="both"/>
        <w:rPr>
          <w:rFonts w:ascii="Arial;sans-serif" w:hAnsi="Arial;sans-serif"/>
          <w:b w:val="false"/>
          <w:color w:val="000000"/>
          <w:sz w:val="20"/>
        </w:rPr>
      </w:pPr>
      <w:r>
        <w:rPr>
          <w:rFonts w:ascii="Arial;sans-serif" w:hAnsi="Arial;sans-serif"/>
          <w:b w:val="false"/>
          <w:color w:val="000000"/>
          <w:sz w:val="20"/>
        </w:rPr>
        <w:t>None of our directors or executive officers adopted or terminated a Rule 10b5-1 trading arrangement or adopted or terminated a non-Rule 10b5-1 trading arrangement (as defined in Item 408(c) of Regulation S-K) during the quarter ended September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709"/>
        <w:gridCol w:w="2511"/>
        <w:gridCol w:w="357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357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Description</w:t>
            </w:r>
          </w:p>
        </w:tc>
      </w:tr>
      <w:tr>
        <w:trPr/>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80"/>
                  <w:sz w:val="20"/>
                  <w:u w:val="single"/>
                </w:rPr>
                <w:t xml:space="preserve">364-Day Revolving Credit Agreement dated as of </w:t>
              </w:r>
            </w:hyperlink>
            <w:hyperlink r:id="rId3">
              <w:r>
                <w:rPr>
                  <w:rStyle w:val="InternetLink"/>
                  <w:rFonts w:ascii="Arial;sans-serif" w:hAnsi="Arial;sans-serif"/>
                  <w:b w:val="false"/>
                  <w:color w:val="000080"/>
                  <w:sz w:val="20"/>
                  <w:u w:val="single"/>
                </w:rPr>
                <w:t>August 24</w:t>
              </w:r>
            </w:hyperlink>
            <w:hyperlink r:id="rId4">
              <w:r>
                <w:rPr>
                  <w:rStyle w:val="InternetLink"/>
                  <w:rFonts w:ascii="Arial;sans-serif" w:hAnsi="Arial;sans-serif"/>
                  <w:b w:val="false"/>
                  <w:color w:val="000080"/>
                  <w:sz w:val="20"/>
                  <w:u w:val="single"/>
                </w:rPr>
                <w:t xml:space="preserve">, 2026, among Lockheed Martin Corporation, the lenders listed therein, and Bank of America, N.A., as administrative agent (incorporated by reference to Exhibit 10.1 to Lockheed Martin Corporation’s Current Report on Form 8-K filed with the SEC on </w:t>
              </w:r>
            </w:hyperlink>
            <w:hyperlink r:id="rId5">
              <w:r>
                <w:rPr>
                  <w:rStyle w:val="InternetLink"/>
                  <w:rFonts w:ascii="Arial;sans-serif" w:hAnsi="Arial;sans-serif"/>
                  <w:b w:val="false"/>
                  <w:color w:val="000080"/>
                  <w:sz w:val="20"/>
                  <w:u w:val="single"/>
                </w:rPr>
                <w:t>August 2</w:t>
              </w:r>
            </w:hyperlink>
            <w:hyperlink r:id="rId6">
              <w:r>
                <w:rPr>
                  <w:rStyle w:val="InternetLink"/>
                  <w:rFonts w:ascii="Arial;sans-serif" w:hAnsi="Arial;sans-serif"/>
                  <w:b w:val="false"/>
                  <w:color w:val="000080"/>
                  <w:sz w:val="20"/>
                  <w:u w:val="single"/>
                </w:rPr>
                <w:t>7</w:t>
              </w:r>
            </w:hyperlink>
            <w:hyperlink r:id="rId7">
              <w:r>
                <w:rPr>
                  <w:rStyle w:val="InternetLink"/>
                  <w:rFonts w:ascii="Arial;sans-serif" w:hAnsi="Arial;sans-serif"/>
                  <w:b w:val="false"/>
                  <w:color w:val="000080"/>
                  <w:sz w:val="20"/>
                  <w:u w:val="single"/>
                </w:rPr>
                <w:t>, 2026).</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80"/>
                  <w:sz w:val="20"/>
                  <w:u w:val="single"/>
                </w:rPr>
                <w:t>Extension Agreement dated as of August 24, 202</w:t>
              </w:r>
            </w:hyperlink>
            <w:hyperlink r:id="rId9">
              <w:r>
                <w:rPr>
                  <w:rStyle w:val="InternetLink"/>
                  <w:rFonts w:ascii="Arial;sans-serif" w:hAnsi="Arial;sans-serif"/>
                  <w:b w:val="false"/>
                  <w:color w:val="000080"/>
                  <w:sz w:val="20"/>
                  <w:u w:val="single"/>
                </w:rPr>
                <w:t>6</w:t>
              </w:r>
            </w:hyperlink>
            <w:hyperlink r:id="rId10">
              <w:r>
                <w:rPr>
                  <w:rStyle w:val="InternetLink"/>
                  <w:rFonts w:ascii="Arial;sans-serif" w:hAnsi="Arial;sans-serif"/>
                  <w:b w:val="false"/>
                  <w:color w:val="000080"/>
                  <w:sz w:val="20"/>
                  <w:u w:val="single"/>
                </w:rPr>
                <w:t>, among Lockheed Martin Corporation, the lenders listed therein, and Bank of America,</w:t>
              </w:r>
            </w:hyperlink>
            <w:hyperlink r:id="rId11">
              <w:r>
                <w:rPr>
                  <w:rStyle w:val="InternetLink"/>
                  <w:rFonts w:ascii="Arial;sans-serif" w:hAnsi="Arial;sans-serif"/>
                  <w:b w:val="false"/>
                  <w:color w:val="000080"/>
                  <w:sz w:val="20"/>
                  <w:u w:val="single"/>
                </w:rPr>
                <w:t xml:space="preserve"> </w:t>
              </w:r>
            </w:hyperlink>
            <w:hyperlink r:id="rId12">
              <w:r>
                <w:rPr>
                  <w:rStyle w:val="InternetLink"/>
                  <w:rFonts w:ascii="Arial;sans-serif" w:hAnsi="Arial;sans-serif"/>
                  <w:b w:val="false"/>
                  <w:color w:val="000080"/>
                  <w:sz w:val="20"/>
                  <w:u w:val="single"/>
                </w:rPr>
                <w:t>N.A., as administrative agent (incorporated by reference to Exhibit 10.</w:t>
              </w:r>
            </w:hyperlink>
            <w:hyperlink r:id="rId13">
              <w:r>
                <w:rPr>
                  <w:rStyle w:val="InternetLink"/>
                  <w:rFonts w:ascii="Arial;sans-serif" w:hAnsi="Arial;sans-serif"/>
                  <w:b w:val="false"/>
                  <w:color w:val="000080"/>
                  <w:sz w:val="20"/>
                  <w:u w:val="single"/>
                </w:rPr>
                <w:t>2</w:t>
              </w:r>
            </w:hyperlink>
            <w:hyperlink r:id="rId14">
              <w:r>
                <w:rPr>
                  <w:rStyle w:val="InternetLink"/>
                  <w:rFonts w:ascii="Arial;sans-serif" w:hAnsi="Arial;sans-serif"/>
                  <w:b w:val="false"/>
                  <w:color w:val="000080"/>
                  <w:sz w:val="20"/>
                  <w:u w:val="single"/>
                </w:rPr>
                <w:t xml:space="preserve"> to Lockheed Martin Corporation’s Current Report on Form 8-K filed with the SEC on August 2</w:t>
              </w:r>
            </w:hyperlink>
            <w:hyperlink r:id="rId15">
              <w:r>
                <w:rPr>
                  <w:rStyle w:val="InternetLink"/>
                  <w:rFonts w:ascii="Arial;sans-serif" w:hAnsi="Arial;sans-serif"/>
                  <w:b w:val="false"/>
                  <w:color w:val="000080"/>
                  <w:sz w:val="20"/>
                  <w:u w:val="single"/>
                </w:rPr>
                <w:t>7</w:t>
              </w:r>
            </w:hyperlink>
            <w:hyperlink r:id="rId16">
              <w:r>
                <w:rPr>
                  <w:rStyle w:val="InternetLink"/>
                  <w:rFonts w:ascii="Arial;sans-serif" w:hAnsi="Arial;sans-serif"/>
                  <w:b w:val="false"/>
                  <w:color w:val="000080"/>
                  <w:sz w:val="20"/>
                  <w:u w:val="single"/>
                </w:rPr>
                <w:t>, 202</w:t>
              </w:r>
            </w:hyperlink>
            <w:hyperlink r:id="rId17">
              <w:r>
                <w:rPr>
                  <w:rStyle w:val="InternetLink"/>
                  <w:rFonts w:ascii="Arial;sans-serif" w:hAnsi="Arial;sans-serif"/>
                  <w:b w:val="false"/>
                  <w:color w:val="000080"/>
                  <w:sz w:val="20"/>
                  <w:u w:val="single"/>
                </w:rPr>
                <w:t>6</w:t>
              </w:r>
            </w:hyperlink>
            <w:hyperlink r:id="rId18">
              <w:r>
                <w:rPr>
                  <w:rStyle w:val="InternetLink"/>
                  <w:rFonts w:ascii="Arial;sans-serif" w:hAnsi="Arial;sans-serif"/>
                  <w:b w:val="false"/>
                  <w:color w:val="000080"/>
                  <w:sz w:val="20"/>
                  <w:u w:val="single"/>
                </w:rPr>
                <w:t>).</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15q32026.htm">
              <w:r>
                <w:rPr>
                  <w:rStyle w:val="InternetLink"/>
                  <w:rFonts w:ascii="Arial;sans-serif" w:hAnsi="Arial;sans-serif"/>
                  <w:b w:val="false"/>
                  <w:color w:val="0000FF"/>
                  <w:sz w:val="20"/>
                  <w:u w:val="single"/>
                </w:rPr>
                <w:t>Acknowledgment of Independent Registered Public Accounting Firm</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q32026.htm">
              <w:r>
                <w:rPr>
                  <w:rStyle w:val="InternetLink"/>
                  <w:rFonts w:ascii="Arial;sans-serif" w:hAnsi="Arial;sans-serif"/>
                  <w:b w:val="false"/>
                  <w:color w:val="0000FF"/>
                  <w:sz w:val="20"/>
                  <w:u w:val="single"/>
                </w:rPr>
                <w:t>Certification of James D. Taiclet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32026.htm">
              <w:r>
                <w:rPr>
                  <w:rStyle w:val="InternetLink"/>
                  <w:rFonts w:ascii="Arial;sans-serif" w:hAnsi="Arial;sans-serif"/>
                  <w:b w:val="false"/>
                  <w:color w:val="0000FF"/>
                  <w:sz w:val="20"/>
                  <w:u w:val="single"/>
                </w:rPr>
                <w:t>Certification of Evan T. Scott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q32026.htm">
              <w:r>
                <w:rPr>
                  <w:rStyle w:val="InternetLink"/>
                  <w:rFonts w:ascii="Arial;sans-serif" w:hAnsi="Arial;sans-serif"/>
                  <w:b w:val="false"/>
                  <w:color w:val="0000FF"/>
                  <w:sz w:val="20"/>
                  <w:u w:val="single"/>
                </w:rPr>
                <w:t>Certification of James D. Taiclet and Evan T. Scott pursuant to 18 U.S.C. Section 1350, as adopted pursuant to Section 906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200" w:after="283"/>
        <w:jc w:val="left"/>
        <w:rPr/>
      </w:pPr>
      <w:hyperlink w:anchor="id7bb5a769f414c889a01c20e9627a359_7">
        <w:r>
          <w:rPr>
            <w:rStyle w:val="InternetLink"/>
            <w:rFonts w:ascii="Arial;sans-serif" w:hAnsi="Arial;sans-serif"/>
            <w:b w:val="false"/>
            <w:color w:val="000080"/>
            <w:sz w:val="20"/>
            <w:u w:val="single"/>
          </w:rPr>
          <w:t xml:space="preserve">Table of </w:t>
        </w:r>
      </w:hyperlink>
      <w:hyperlink w:anchor="id7bb5a769f414c889a01c20e9627a359_7">
        <w:r>
          <w:rPr>
            <w:rStyle w:val="InternetLink"/>
            <w:rFonts w:ascii="Arial;sans-serif" w:hAnsi="Arial;sans-serif"/>
            <w:b w:val="false"/>
            <w:color w:val="000080"/>
            <w:sz w:val="20"/>
            <w:u w:val="single"/>
          </w:rPr>
          <w:t>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200" w:after="283"/>
        <w:ind w:left="0" w:right="0" w:firstLine="495"/>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331" w:type="dxa"/>
        <w:jc w:val="left"/>
        <w:tblInd w:w="0" w:type="dxa"/>
        <w:tblLayout w:type="fixed"/>
        <w:tblCellMar>
          <w:top w:w="28" w:type="dxa"/>
          <w:left w:w="28" w:type="dxa"/>
          <w:bottom w:w="28" w:type="dxa"/>
          <w:right w:w="28" w:type="dxa"/>
        </w:tblCellMar>
      </w:tblPr>
      <w:tblGrid>
        <w:gridCol w:w="776"/>
        <w:gridCol w:w="681"/>
        <w:gridCol w:w="688"/>
        <w:gridCol w:w="109"/>
        <w:gridCol w:w="109"/>
        <w:gridCol w:w="109"/>
        <w:gridCol w:w="1422"/>
        <w:gridCol w:w="1422"/>
        <w:gridCol w:w="2015"/>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Lockheed Martin Corporation</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By: /s/ H. Edward Paul III</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 Edward Paul III</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Controller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(Duly Authorized Officer and Chief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15</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Acknowledgment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Independent Registered Public Accounting Firm</w:t>
      </w:r>
    </w:p>
    <w:p>
      <w:pPr>
        <w:pStyle w:val="TextBody"/>
        <w:bidi w:val="0"/>
        <w:spacing w:lineRule="auto" w:line="288" w:before="400" w:after="283"/>
        <w:jc w:val="both"/>
        <w:rPr>
          <w:rFonts w:ascii="Arial;sans-serif" w:hAnsi="Arial;sans-serif"/>
          <w:b w:val="false"/>
          <w:color w:val="000000"/>
          <w:sz w:val="20"/>
        </w:rPr>
      </w:pPr>
      <w:r>
        <w:rPr>
          <w:rFonts w:ascii="Arial;sans-serif" w:hAnsi="Arial;sans-serif"/>
          <w:b w:val="false"/>
          <w:color w:val="000000"/>
          <w:sz w:val="20"/>
        </w:rPr>
        <w:t>Board of Directors and Stockholders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Lockheed Martin Corporation</w:t>
      </w:r>
    </w:p>
    <w:p>
      <w:pPr>
        <w:pStyle w:val="TextBody"/>
        <w:bidi w:val="0"/>
        <w:spacing w:before="0" w:after="0"/>
        <w:jc w:val="both"/>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are aware of the incorporation by reference of our report dated October 22, 2026, relating to the unaudited consolidated interim financial statements of Lockheed Martin Corporation that is included in its Form 10-Q for the quarter ended September 27, 2026, in the following Registration Statements of Lockheed Martin Corporation: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333-92363 on Form S-8;</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333-115357 on Form S-8;</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333-155687 on Form S-8;</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333-188118 on Form S-8;</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333-195466 on Form S-8;</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 xml:space="preserve">333-237829, 333-237831, and 333-237832 on Form S-8; </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333-271323 on Form S-8; and</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333-271325 on Form S-3.</w:t>
      </w:r>
    </w:p>
    <w:p>
      <w:pPr>
        <w:pStyle w:val="TextBody"/>
        <w:bidi w:val="0"/>
        <w:spacing w:before="480" w:after="283"/>
        <w:jc w:val="left"/>
        <w:rPr/>
      </w:pPr>
      <w:r>
        <w:rPr/>
      </w:r>
    </w:p>
    <w:p>
      <w:pPr>
        <w:pStyle w:val="TextBody"/>
        <w:bidi w:val="0"/>
        <w:spacing w:lineRule="auto" w:line="288" w:before="480" w:after="283"/>
        <w:jc w:val="left"/>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Tysons, Virginia</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October 22,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CERTIFICATION OF JAMES D. TAICLET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James D. Taiclet, certify that: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Lockheed Martin Corporation;</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4974" w:type="dxa"/>
        <w:jc w:val="left"/>
        <w:tblInd w:w="0" w:type="dxa"/>
        <w:tblLayout w:type="fixed"/>
        <w:tblCellMar>
          <w:top w:w="28" w:type="dxa"/>
          <w:left w:w="28" w:type="dxa"/>
          <w:bottom w:w="28" w:type="dxa"/>
          <w:right w:w="28" w:type="dxa"/>
        </w:tblCellMar>
      </w:tblPr>
      <w:tblGrid>
        <w:gridCol w:w="776"/>
        <w:gridCol w:w="681"/>
        <w:gridCol w:w="688"/>
        <w:gridCol w:w="109"/>
        <w:gridCol w:w="109"/>
        <w:gridCol w:w="109"/>
        <w:gridCol w:w="709"/>
        <w:gridCol w:w="709"/>
        <w:gridCol w:w="712"/>
        <w:gridCol w:w="109"/>
        <w:gridCol w:w="109"/>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James D. Taiclet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left"/>
              <w:rPr>
                <w:rFonts w:ascii="Arial;sans-serif" w:hAnsi="Arial;sans-serif"/>
                <w:b w:val="false"/>
                <w:color w:val="000000"/>
                <w:sz w:val="20"/>
              </w:rPr>
            </w:pPr>
            <w:r>
              <w:rPr>
                <w:rFonts w:ascii="Arial;sans-serif" w:hAnsi="Arial;sans-serif"/>
                <w:b w:val="false"/>
                <w:color w:val="000000"/>
                <w:sz w:val="20"/>
              </w:rPr>
              <w:t>James D. Taiclet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40" w:after="283"/>
        <w:jc w:val="center"/>
        <w:rPr>
          <w:rFonts w:ascii="Arial;sans-serif" w:hAnsi="Arial;sans-serif"/>
          <w:b/>
          <w:color w:val="000000"/>
          <w:sz w:val="20"/>
        </w:rPr>
      </w:pPr>
      <w:r>
        <w:rPr>
          <w:rFonts w:ascii="Arial;sans-serif" w:hAnsi="Arial;sans-serif"/>
          <w:b/>
          <w:color w:val="000000"/>
          <w:sz w:val="20"/>
        </w:rPr>
        <w:t>CERTIFICATION OF EVAN T. SCOTT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Evan T. Scott, certify that: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Lockheed Martin Corporation;</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4557" w:type="dxa"/>
        <w:jc w:val="left"/>
        <w:tblInd w:w="0" w:type="dxa"/>
        <w:tblLayout w:type="fixed"/>
        <w:tblCellMar>
          <w:top w:w="28" w:type="dxa"/>
          <w:left w:w="28" w:type="dxa"/>
          <w:bottom w:w="28" w:type="dxa"/>
          <w:right w:w="28" w:type="dxa"/>
        </w:tblCellMar>
      </w:tblPr>
      <w:tblGrid>
        <w:gridCol w:w="776"/>
        <w:gridCol w:w="681"/>
        <w:gridCol w:w="688"/>
        <w:gridCol w:w="109"/>
        <w:gridCol w:w="109"/>
        <w:gridCol w:w="109"/>
        <w:gridCol w:w="609"/>
        <w:gridCol w:w="609"/>
        <w:gridCol w:w="867"/>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Evan T. Scott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Evan T. Scott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JAMES D. TAICLET AND EVAN T. SCOTT PURSUANT TO 18 U.S.C. SECTION 1350, AS ADOPTED PURSUANT TO 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Quarterly Report of Lockheed Martin Corporation (the “Corporation”) on Form 10-Q for the period ended September 27, 2026, as filed with the U.S. Securities and Exchange Commission on the date hereof (the “Report”), I, James D. Taiclet, Chief Executive Officer of the Corporation, and I, Evan T. Scott, Chief Financial Officer of the Corporation, each certify, pursuant to 18 U.S.C. Section 1350, as adopted pursuant to Section 906 of the Sarbanes-Oxley Act of 2002, that to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54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Corporation.</w:t>
      </w:r>
    </w:p>
    <w:p>
      <w:pPr>
        <w:pStyle w:val="TextBody"/>
        <w:bidi w:val="0"/>
        <w:spacing w:before="0" w:after="0"/>
        <w:ind w:left="0" w:right="0" w:hanging="180"/>
        <w:jc w:val="both"/>
        <w:rPr/>
      </w:pPr>
      <w:r>
        <w:rPr/>
      </w:r>
    </w:p>
    <w:tbl>
      <w:tblPr>
        <w:tblW w:w="2516" w:type="dxa"/>
        <w:jc w:val="left"/>
        <w:tblInd w:w="0" w:type="dxa"/>
        <w:tblLayout w:type="fixed"/>
        <w:tblCellMar>
          <w:top w:w="28" w:type="dxa"/>
          <w:left w:w="28" w:type="dxa"/>
          <w:bottom w:w="28" w:type="dxa"/>
          <w:right w:w="28" w:type="dxa"/>
        </w:tblCellMar>
      </w:tblPr>
      <w:tblGrid>
        <w:gridCol w:w="124"/>
        <w:gridCol w:w="109"/>
        <w:gridCol w:w="109"/>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James D. Taiclet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40" w:after="283"/>
              <w:jc w:val="left"/>
              <w:rPr>
                <w:rFonts w:ascii="Arial;sans-serif" w:hAnsi="Arial;sans-serif"/>
                <w:b w:val="false"/>
                <w:color w:val="000000"/>
                <w:sz w:val="20"/>
              </w:rPr>
            </w:pPr>
            <w:r>
              <w:rPr>
                <w:rFonts w:ascii="Arial;sans-serif" w:hAnsi="Arial;sans-serif"/>
                <w:b w:val="false"/>
                <w:color w:val="000000"/>
                <w:sz w:val="20"/>
              </w:rPr>
              <w:t>James D. Taiclet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Evan T. Scott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Evan T. Scott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lineRule="auto" w:line="288" w:before="240" w:after="283"/>
        <w:ind w:left="0" w:right="0" w:hanging="180"/>
        <w:jc w:val="left"/>
        <w:rPr>
          <w:rFonts w:ascii="Arial;sans-serif" w:hAnsi="Arial;sans-serif"/>
          <w:b w:val="false"/>
          <w:color w:val="000000"/>
          <w:sz w:val="20"/>
        </w:rPr>
      </w:pPr>
      <w:r>
        <w:rPr>
          <w:rFonts w:ascii="Arial;sans-serif" w:hAnsi="Arial;sans-serif"/>
          <w:b w:val="false"/>
          <w:color w:val="000000"/>
          <w:sz w:val="20"/>
        </w:rPr>
        <w:t>Date: October 22, 2026</w:t>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36468/000119312526371750/d177255dex101.htm" TargetMode="External"/><Relationship Id="rId3" Type="http://schemas.openxmlformats.org/officeDocument/2006/relationships/hyperlink" Target="https://www.sec.gov/Archives/edgar/data/936468/000119312526371750/d177255dex101.htm" TargetMode="External"/><Relationship Id="rId4" Type="http://schemas.openxmlformats.org/officeDocument/2006/relationships/hyperlink" Target="https://www.sec.gov/Archives/edgar/data/936468/000119312526371750/d177255dex101.htm" TargetMode="External"/><Relationship Id="rId5" Type="http://schemas.openxmlformats.org/officeDocument/2006/relationships/hyperlink" Target="https://www.sec.gov/Archives/edgar/data/936468/000119312526371750/d177255dex101.htm" TargetMode="External"/><Relationship Id="rId6" Type="http://schemas.openxmlformats.org/officeDocument/2006/relationships/hyperlink" Target="https://www.sec.gov/Archives/edgar/data/936468/000119312526371750/d177255dex101.htm" TargetMode="External"/><Relationship Id="rId7" Type="http://schemas.openxmlformats.org/officeDocument/2006/relationships/hyperlink" Target="https://www.sec.gov/Archives/edgar/data/936468/000119312526371750/d177255dex101.htm" TargetMode="External"/><Relationship Id="rId8" Type="http://schemas.openxmlformats.org/officeDocument/2006/relationships/hyperlink" Target="https://www.sec.gov/Archives/edgar/data/936468/000119312526371750/d177255dex102.htm" TargetMode="External"/><Relationship Id="rId9" Type="http://schemas.openxmlformats.org/officeDocument/2006/relationships/hyperlink" Target="https://www.sec.gov/Archives/edgar/data/936468/000119312526371750/d177255dex102.htm" TargetMode="External"/><Relationship Id="rId10" Type="http://schemas.openxmlformats.org/officeDocument/2006/relationships/hyperlink" Target="https://www.sec.gov/Archives/edgar/data/936468/000119312526371750/d177255dex102.htm" TargetMode="External"/><Relationship Id="rId11" Type="http://schemas.openxmlformats.org/officeDocument/2006/relationships/hyperlink" Target="https://www.sec.gov/Archives/edgar/data/936468/000119312526371750/d177255dex102.htm" TargetMode="External"/><Relationship Id="rId12" Type="http://schemas.openxmlformats.org/officeDocument/2006/relationships/hyperlink" Target="https://www.sec.gov/Archives/edgar/data/936468/000119312526371750/d177255dex102.htm" TargetMode="External"/><Relationship Id="rId13" Type="http://schemas.openxmlformats.org/officeDocument/2006/relationships/hyperlink" Target="https://www.sec.gov/Archives/edgar/data/936468/000119312526371750/d177255dex102.htm" TargetMode="External"/><Relationship Id="rId14" Type="http://schemas.openxmlformats.org/officeDocument/2006/relationships/hyperlink" Target="https://www.sec.gov/Archives/edgar/data/936468/000119312526371750/d177255dex102.htm" TargetMode="External"/><Relationship Id="rId15" Type="http://schemas.openxmlformats.org/officeDocument/2006/relationships/hyperlink" Target="https://www.sec.gov/Archives/edgar/data/936468/000119312526371750/d177255dex102.htm" TargetMode="External"/><Relationship Id="rId16" Type="http://schemas.openxmlformats.org/officeDocument/2006/relationships/hyperlink" Target="https://www.sec.gov/Archives/edgar/data/936468/000119312526371750/d177255dex102.htm" TargetMode="External"/><Relationship Id="rId17" Type="http://schemas.openxmlformats.org/officeDocument/2006/relationships/hyperlink" Target="https://www.sec.gov/Archives/edgar/data/936468/000119312526371750/d177255dex102.htm" TargetMode="External"/><Relationship Id="rId18" Type="http://schemas.openxmlformats.org/officeDocument/2006/relationships/hyperlink" Target="https://www.sec.gov/Archives/edgar/data/936468/000119312526371750/d177255dex102.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22346</Words>
  <Characters>124516</Characters>
  <CharactersWithSpaces>145237</CharactersWithSpaces>
  <Paragraphs>2836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